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0412F" w14:textId="006F650A" w:rsidR="00A77555" w:rsidRDefault="00A77555" w:rsidP="00A77555">
      <w:pPr>
        <w:tabs>
          <w:tab w:val="left" w:pos="660"/>
          <w:tab w:val="center" w:pos="7002"/>
        </w:tabs>
        <w:rPr>
          <w:b/>
          <w:sz w:val="32"/>
          <w:u w:val="single"/>
        </w:rPr>
      </w:pP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u w:val="single"/>
        </w:rPr>
        <w:t>Curso de “Emergencias de Salud en Poblaciones Grandes” (Curso H.E.L.P.)</w:t>
      </w:r>
    </w:p>
    <w:p w14:paraId="285349B3" w14:textId="2F0D980B" w:rsidR="00A77555" w:rsidRPr="00A77555" w:rsidRDefault="00D66976" w:rsidP="00A77555">
      <w:pPr>
        <w:jc w:val="center"/>
        <w:rPr>
          <w:b/>
          <w:sz w:val="32"/>
        </w:rPr>
      </w:pPr>
      <w:r>
        <w:rPr>
          <w:b/>
          <w:sz w:val="32"/>
        </w:rPr>
        <w:t>Marco jurídico</w:t>
      </w:r>
    </w:p>
    <w:p w14:paraId="79FAAD5E" w14:textId="102AC165" w:rsidR="00120B2E" w:rsidRPr="00A77555" w:rsidRDefault="00D66976" w:rsidP="00A77555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Duración: 90 minutos</w:t>
      </w:r>
    </w:p>
    <w:tbl>
      <w:tblPr>
        <w:tblStyle w:val="TableGrid"/>
        <w:tblW w:w="1403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4395"/>
        <w:gridCol w:w="5953"/>
      </w:tblGrid>
      <w:tr w:rsidR="00120B2E" w:rsidRPr="00A77555" w14:paraId="79FAAD63" w14:textId="77777777" w:rsidTr="00866726">
        <w:trPr>
          <w:trHeight w:val="889"/>
        </w:trPr>
        <w:tc>
          <w:tcPr>
            <w:tcW w:w="3686" w:type="dxa"/>
            <w:shd w:val="clear" w:color="auto" w:fill="DEEAF6" w:themeFill="accent1" w:themeFillTint="33"/>
          </w:tcPr>
          <w:p w14:paraId="79FAAD60" w14:textId="33507353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Objetivos educativos: qué deberían poder hacer los participantes al finalizar el curso</w:t>
            </w:r>
          </w:p>
        </w:tc>
        <w:tc>
          <w:tcPr>
            <w:tcW w:w="4395" w:type="dxa"/>
            <w:shd w:val="clear" w:color="auto" w:fill="DEEAF6" w:themeFill="accent1" w:themeFillTint="33"/>
          </w:tcPr>
          <w:p w14:paraId="79FAAD61" w14:textId="03194BC9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 xml:space="preserve">Objetivos facilitadores: pasos intermedios que construyen un camino hacia los objetivos educativos finales </w:t>
            </w:r>
          </w:p>
        </w:tc>
        <w:tc>
          <w:tcPr>
            <w:tcW w:w="5953" w:type="dxa"/>
            <w:shd w:val="clear" w:color="auto" w:fill="DEEAF6" w:themeFill="accent1" w:themeFillTint="33"/>
          </w:tcPr>
          <w:p w14:paraId="79FAAD62" w14:textId="77777777" w:rsidR="00120B2E" w:rsidRPr="00A77555" w:rsidRDefault="00120B2E" w:rsidP="00921E03">
            <w:pPr>
              <w:pStyle w:val="Normal1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auto"/>
                <w:sz w:val="24"/>
              </w:rPr>
              <w:t>Cuestiones principales/temas de referencia</w:t>
            </w:r>
          </w:p>
        </w:tc>
      </w:tr>
      <w:tr w:rsidR="00C25A48" w:rsidRPr="00D66976" w14:paraId="79FAAD79" w14:textId="77777777" w:rsidTr="00866726">
        <w:tc>
          <w:tcPr>
            <w:tcW w:w="3686" w:type="dxa"/>
            <w:vMerge w:val="restart"/>
          </w:tcPr>
          <w:p w14:paraId="79FAAD6D" w14:textId="2BC4F2F3" w:rsidR="00C25A48" w:rsidRPr="00D66976" w:rsidRDefault="00C25A48" w:rsidP="00D66976">
            <w:pPr>
              <w:pStyle w:val="Normal1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4"/>
              </w:rPr>
              <w:t>Los participantes podrán</w:t>
            </w:r>
            <w:r>
              <w:rPr>
                <w:rFonts w:asciiTheme="minorHAnsi" w:hAnsiTheme="minorHAnsi"/>
                <w:color w:val="auto"/>
                <w:sz w:val="24"/>
              </w:rPr>
              <w:t xml:space="preserve"> explicar cuáles son los instrumentos jurídicos de mayor importancia en situaciones de conflicto armado y en otras crisis humanitarias, y cuándo y cómo se implementan.</w:t>
            </w:r>
          </w:p>
        </w:tc>
        <w:tc>
          <w:tcPr>
            <w:tcW w:w="4395" w:type="dxa"/>
          </w:tcPr>
          <w:p w14:paraId="79FAAD6E" w14:textId="5A8B80BD" w:rsidR="00C25A48" w:rsidRPr="00964F76" w:rsidRDefault="00D66976" w:rsidP="00964F76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b/>
                <w:sz w:val="24"/>
              </w:rPr>
              <w:t>Derecho internacional humanitario (DIH)</w:t>
            </w:r>
          </w:p>
          <w:p w14:paraId="79FAAD6F" w14:textId="77777777" w:rsidR="00C25A48" w:rsidRPr="00A77555" w:rsidRDefault="00C25A48" w:rsidP="00921E03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distinguir diversas situaciones de violencia e identificar los principales instrumentos de DIH aplicables.  </w:t>
            </w:r>
          </w:p>
        </w:tc>
        <w:tc>
          <w:tcPr>
            <w:tcW w:w="5953" w:type="dxa"/>
          </w:tcPr>
          <w:p w14:paraId="79FAAD70" w14:textId="77777777" w:rsidR="00C25A48" w:rsidRPr="00A77555" w:rsidRDefault="00C25A48" w:rsidP="00921E03">
            <w:pPr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2E74B5" w:themeColor="accent1" w:themeShade="BF"/>
                <w:sz w:val="24"/>
              </w:rPr>
              <w:t>Parte principal de la sesión sobre instrumentos jurídicos</w:t>
            </w:r>
          </w:p>
          <w:p w14:paraId="79FAAD71" w14:textId="77777777" w:rsidR="00C25A48" w:rsidRPr="00A77555" w:rsidRDefault="00C25A48" w:rsidP="0001293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Conflictos armados internacionales (CAI), conflictos armados no internacionales (CANI) y otras situaciones de violencia (OSV).</w:t>
            </w:r>
          </w:p>
          <w:p w14:paraId="79FAAD72" w14:textId="77777777" w:rsidR="00C25A48" w:rsidRPr="00A77555" w:rsidRDefault="00C25A48" w:rsidP="00012938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Instrumentos principales:</w:t>
            </w:r>
          </w:p>
          <w:p w14:paraId="79FAAD73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Convenios de Ginebra de 1949;</w:t>
            </w:r>
          </w:p>
          <w:p w14:paraId="79FAAD74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Protocolos adicionales de 1977 (CAI y CANI);</w:t>
            </w:r>
          </w:p>
          <w:p w14:paraId="79FAAD75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determinación de las partes principales que se aplican a los CAI y a los CANI;</w:t>
            </w:r>
          </w:p>
          <w:p w14:paraId="79FAAD76" w14:textId="77777777" w:rsidR="00C25A48" w:rsidRPr="00A77555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artículo 2 común a los Convenios de Ginebra (definición de “conflictos armados internacionales”); y</w:t>
            </w:r>
          </w:p>
          <w:p w14:paraId="79FAAD78" w14:textId="145B477A" w:rsidR="00C25A48" w:rsidRPr="008868B0" w:rsidRDefault="00C25A48" w:rsidP="008868B0">
            <w:pPr>
              <w:pStyle w:val="ListParagraph"/>
              <w:numPr>
                <w:ilvl w:val="1"/>
                <w:numId w:val="33"/>
              </w:numPr>
              <w:ind w:left="757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artículo 3 común a los Convenios de Ginebra (definición de “conflictos armados no internacionales”).</w:t>
            </w:r>
          </w:p>
        </w:tc>
      </w:tr>
      <w:tr w:rsidR="00C25A48" w:rsidRPr="00D66976" w14:paraId="79FAAD80" w14:textId="77777777" w:rsidTr="00866726">
        <w:tc>
          <w:tcPr>
            <w:tcW w:w="3686" w:type="dxa"/>
            <w:vMerge/>
          </w:tcPr>
          <w:p w14:paraId="79FAAD7A" w14:textId="77777777" w:rsidR="00C25A48" w:rsidRPr="002778DA" w:rsidRDefault="00C25A48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79FAAD7B" w14:textId="2954E160" w:rsidR="00C25A48" w:rsidRPr="008C7BA9" w:rsidRDefault="00D66976" w:rsidP="00B870C5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Derecho internacional de los derechos humanos (DIDH)</w:t>
            </w:r>
          </w:p>
          <w:p w14:paraId="79FAAD7C" w14:textId="476EDCB9" w:rsidR="00C25A48" w:rsidRPr="00A77555" w:rsidRDefault="00C25A48" w:rsidP="00921E03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qué son los derechos humanos, quiénes tienen la obligación de respetarlos y </w:t>
            </w:r>
            <w:r>
              <w:rPr>
                <w:sz w:val="24"/>
              </w:rPr>
              <w:lastRenderedPageBreak/>
              <w:t xml:space="preserve">protegerlos y quiénes son los beneficiarios a los que están dirigidos. </w:t>
            </w:r>
          </w:p>
        </w:tc>
        <w:tc>
          <w:tcPr>
            <w:tcW w:w="5953" w:type="dxa"/>
          </w:tcPr>
          <w:p w14:paraId="79FAAD7D" w14:textId="77777777" w:rsidR="00C25A48" w:rsidRPr="00A77555" w:rsidRDefault="00C25A48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lastRenderedPageBreak/>
              <w:t xml:space="preserve">Parte principal de la sesión sobre instrumentos jurídicos </w:t>
            </w:r>
          </w:p>
          <w:p w14:paraId="79FAAD7E" w14:textId="77777777" w:rsidR="00C25A48" w:rsidRPr="00A77555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Los derechos humanos como derechos que las personas y diferentes grupos pueden esperar ejercer y reclamar.</w:t>
            </w:r>
          </w:p>
          <w:p w14:paraId="3DC407BE" w14:textId="77777777" w:rsidR="00C25A48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La obligación de respetar y proteger los derechos humanos, impuesta únicamente a los Estados (opinión </w:t>
            </w:r>
            <w:r>
              <w:rPr>
                <w:sz w:val="24"/>
              </w:rPr>
              <w:lastRenderedPageBreak/>
              <w:t>mayoritaria que refleja el punto de vista actual, con una minoría creciente a favor de que los grupos armados no estatales se rijan por el derecho de los derechos humanos).</w:t>
            </w:r>
          </w:p>
          <w:p w14:paraId="79FAAD7F" w14:textId="4D2DF482" w:rsidR="00C25A48" w:rsidRPr="00A77555" w:rsidRDefault="00C25A48" w:rsidP="00012938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Instrumentos más importantes (</w:t>
            </w:r>
            <w:r>
              <w:rPr>
                <w:i/>
                <w:iCs/>
                <w:sz w:val="24"/>
              </w:rPr>
              <w:t>saber que existen</w:t>
            </w:r>
            <w:r>
              <w:rPr>
                <w:sz w:val="24"/>
              </w:rPr>
              <w:t>).</w:t>
            </w:r>
          </w:p>
        </w:tc>
      </w:tr>
      <w:tr w:rsidR="008868B0" w:rsidRPr="00D66976" w14:paraId="5D6518D6" w14:textId="77777777" w:rsidTr="00866726">
        <w:tc>
          <w:tcPr>
            <w:tcW w:w="3686" w:type="dxa"/>
          </w:tcPr>
          <w:p w14:paraId="74D74681" w14:textId="77777777" w:rsidR="008868B0" w:rsidRPr="002778DA" w:rsidRDefault="008868B0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50EC1D80" w14:textId="77777777" w:rsidR="008868B0" w:rsidRPr="00A77555" w:rsidRDefault="008868B0" w:rsidP="008868B0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DIH y derecho internacional de los derechos humanos</w:t>
            </w:r>
          </w:p>
          <w:p w14:paraId="01B8B37C" w14:textId="0D34A293" w:rsidR="008868B0" w:rsidRPr="008C7BA9" w:rsidRDefault="008868B0" w:rsidP="008868B0">
            <w:pPr>
              <w:pStyle w:val="ListParagraph"/>
              <w:ind w:left="460"/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la diferencia entre el derecho internacional de los derechos humanos y el DIH en cuanto al ámbito de aplicación.</w:t>
            </w:r>
          </w:p>
        </w:tc>
        <w:tc>
          <w:tcPr>
            <w:tcW w:w="5953" w:type="dxa"/>
          </w:tcPr>
          <w:p w14:paraId="3A9F180C" w14:textId="77777777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Diferencias en cuanto a los ámbitos temático, personal y geográfico de aplicación entre los dos regímenes.</w:t>
            </w:r>
          </w:p>
          <w:p w14:paraId="06B620E4" w14:textId="77777777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Los derechos humanos se aplican en todo momento, incluso durante los conflictos armados.</w:t>
            </w:r>
          </w:p>
          <w:p w14:paraId="25CA4FD3" w14:textId="2EFBA358" w:rsidR="008868B0" w:rsidRPr="008868B0" w:rsidRDefault="008868B0" w:rsidP="008868B0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360"/>
              <w:rPr>
                <w:rFonts w:cstheme="minorHAnsi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Posibilidad de suspender determinadas obligaciones en situaciones de emergencia pública que atenten contra la nación (+ condiciones para las excepciones). Sin embargo, existen ciertos derechos que nunca pueden suspenderse o tratos o penas degradantes; prohibición de la esclavitud.</w:t>
            </w:r>
          </w:p>
        </w:tc>
      </w:tr>
      <w:tr w:rsidR="0062232E" w:rsidRPr="00A77555" w14:paraId="79FAADA3" w14:textId="77777777" w:rsidTr="00866726">
        <w:tc>
          <w:tcPr>
            <w:tcW w:w="3686" w:type="dxa"/>
          </w:tcPr>
          <w:p w14:paraId="79FAAD9B" w14:textId="77777777" w:rsidR="0062232E" w:rsidRPr="002778DA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79FAAD9C" w14:textId="7F99F214" w:rsidR="0062232E" w:rsidRPr="00A77555" w:rsidRDefault="00B870C5" w:rsidP="00B870C5">
            <w:pPr>
              <w:pStyle w:val="ListParagraph"/>
              <w:numPr>
                <w:ilvl w:val="1"/>
                <w:numId w:val="32"/>
              </w:numPr>
              <w:ind w:left="460" w:hanging="460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Personas refugiadas, migrantes e internamente desplazadas</w:t>
            </w:r>
          </w:p>
          <w:p w14:paraId="79FAAD9D" w14:textId="108AC73E" w:rsidR="008C7BA9" w:rsidRPr="00A77555" w:rsidRDefault="008C7BA9" w:rsidP="008C7BA9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la diferencia entre personas refugiadas, desplazadas y migrantes, y las principales normas que se aplican a cada categoría.</w:t>
            </w:r>
          </w:p>
        </w:tc>
        <w:tc>
          <w:tcPr>
            <w:tcW w:w="5953" w:type="dxa"/>
          </w:tcPr>
          <w:p w14:paraId="34B023C2" w14:textId="77777777" w:rsidR="008C7BA9" w:rsidRPr="00012938" w:rsidRDefault="008C7BA9" w:rsidP="008C7BA9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t xml:space="preserve">Introducción breve </w:t>
            </w:r>
            <w:r>
              <w:rPr>
                <w:sz w:val="24"/>
              </w:rPr>
              <w:t xml:space="preserve">con el </w:t>
            </w:r>
            <w:r>
              <w:rPr>
                <w:b/>
                <w:i/>
                <w:color w:val="0070C0"/>
                <w:sz w:val="24"/>
              </w:rPr>
              <w:t xml:space="preserve">único </w:t>
            </w:r>
            <w:r>
              <w:rPr>
                <w:sz w:val="24"/>
              </w:rPr>
              <w:t>propósito de comprender el significado jurídico (y, por lo tanto, la protección aplicable) de las distintas categorías y procurar que los términos se utilicen correctamente.</w:t>
            </w:r>
          </w:p>
          <w:p w14:paraId="199606CD" w14:textId="77777777" w:rsidR="008C7BA9" w:rsidRPr="00A77555" w:rsidRDefault="008C7BA9" w:rsidP="008C7B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Analizar la diferencia entre personas refugiadas, migrantes e internamente desplazadas.</w:t>
            </w:r>
          </w:p>
          <w:p w14:paraId="6E6AB5A9" w14:textId="2B8FB479" w:rsidR="008C7BA9" w:rsidRDefault="008C7BA9" w:rsidP="008C7BA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Definición de “persona refugiada” como estatuto jurídico.</w:t>
            </w:r>
          </w:p>
          <w:p w14:paraId="79FAAD9E" w14:textId="0EC80AB6" w:rsidR="0062232E" w:rsidRPr="00A77555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Instrumentos regionales e internacionales en vigor: </w:t>
            </w:r>
          </w:p>
          <w:p w14:paraId="79FAAD9F" w14:textId="77777777" w:rsidR="0062232E" w:rsidRPr="00A77555" w:rsidRDefault="0062232E" w:rsidP="0001293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Convención de Ginebra sobre el Estatuto de los Refugiados de 1951;</w:t>
            </w:r>
          </w:p>
          <w:p w14:paraId="79FAADA0" w14:textId="77777777" w:rsidR="0062232E" w:rsidRPr="00A77555" w:rsidRDefault="0062232E" w:rsidP="0001293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Convención de la Organización de la Unidad Africana de 1969 por la que se regulan los Aspectos </w:t>
            </w:r>
            <w:r>
              <w:rPr>
                <w:sz w:val="24"/>
              </w:rPr>
              <w:lastRenderedPageBreak/>
              <w:t>Específicos de los Problemas de los Refugiados en África;</w:t>
            </w:r>
          </w:p>
          <w:p w14:paraId="265C30BD" w14:textId="77777777" w:rsidR="008B79BA" w:rsidRDefault="0062232E" w:rsidP="008B79B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Principios Rectores de la Organización de las Naciones Unidas sobre Desplazamiento Interno (no vinculantes); y</w:t>
            </w:r>
          </w:p>
          <w:p w14:paraId="79FAADA2" w14:textId="69D9E8D1" w:rsidR="007872C8" w:rsidRPr="007872C8" w:rsidRDefault="0062232E" w:rsidP="007872C8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Convención de Kampala (personas internamente desplazadas).</w:t>
            </w:r>
          </w:p>
        </w:tc>
      </w:tr>
      <w:tr w:rsidR="0062232E" w:rsidRPr="00D66976" w14:paraId="79FAADAD" w14:textId="77777777" w:rsidTr="00866726">
        <w:tc>
          <w:tcPr>
            <w:tcW w:w="3686" w:type="dxa"/>
            <w:vMerge w:val="restart"/>
          </w:tcPr>
          <w:p w14:paraId="79FAADA4" w14:textId="7C7D0BA6" w:rsidR="0062232E" w:rsidRPr="00A77555" w:rsidRDefault="0062232E" w:rsidP="008C7BA9">
            <w:pPr>
              <w:pStyle w:val="Normal1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lastRenderedPageBreak/>
              <w:t>Los participantes podrán</w:t>
            </w:r>
            <w:r>
              <w:rPr>
                <w:rFonts w:asciiTheme="minorHAnsi" w:hAnsiTheme="minorHAnsi"/>
                <w:sz w:val="24"/>
              </w:rPr>
              <w:t xml:space="preserve"> explicar las normas y los principios básicos que se aplican en conflictos armados y en otras crisis humanitarias. </w:t>
            </w:r>
          </w:p>
        </w:tc>
        <w:tc>
          <w:tcPr>
            <w:tcW w:w="4395" w:type="dxa"/>
          </w:tcPr>
          <w:p w14:paraId="79FAADA6" w14:textId="586FFA84" w:rsidR="0062232E" w:rsidRPr="00D66976" w:rsidRDefault="0062232E" w:rsidP="00D66976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las normas de DIH de mayor importancia.</w:t>
            </w:r>
          </w:p>
        </w:tc>
        <w:tc>
          <w:tcPr>
            <w:tcW w:w="5953" w:type="dxa"/>
          </w:tcPr>
          <w:p w14:paraId="79FAADA7" w14:textId="77777777" w:rsidR="0062232E" w:rsidRPr="00A77555" w:rsidRDefault="0062232E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t>Parte principal de la sesión jurídica</w:t>
            </w:r>
          </w:p>
          <w:p w14:paraId="79FAADA8" w14:textId="77777777" w:rsidR="0062232E" w:rsidRPr="00A77555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Normas relativas a la conducción de las hostilidades: </w:t>
            </w:r>
          </w:p>
          <w:p w14:paraId="79FAADA9" w14:textId="77777777" w:rsidR="0062232E" w:rsidRPr="00A77555" w:rsidRDefault="0062232E" w:rsidP="0001293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principios de distinción, proporcionalidad y precaución; y</w:t>
            </w:r>
          </w:p>
          <w:p w14:paraId="79FAADAA" w14:textId="77777777" w:rsidR="0062232E" w:rsidRPr="00610D69" w:rsidRDefault="0062232E" w:rsidP="00012938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normas principales relacionadas con los métodos y medios de guerra (por ejemplo, la prohibición de ataques indiscriminados, la prohibición de males superfluos y sufrimientos innecesarios, el examen de armas nuevas, los métodos de guerra específicamente prohibidos, etc.).</w:t>
            </w:r>
          </w:p>
          <w:p w14:paraId="79FAADAB" w14:textId="77777777" w:rsidR="0062232E" w:rsidRPr="00610D69" w:rsidRDefault="0062232E" w:rsidP="0001293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Normas relacionadas con la protección de las personas que estén en poder de una parte en conflicto (por ejemplo, trato humano, normas aplicables a la detención, etc.).</w:t>
            </w:r>
          </w:p>
          <w:p w14:paraId="79FAADAC" w14:textId="6434D0E5" w:rsidR="0062232E" w:rsidRPr="00610D69" w:rsidRDefault="0062232E" w:rsidP="00610D6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Normas principales relacionadas con la asistencia de salud (incluido el proyecto “Asistencia de salud en peligro”). </w:t>
            </w:r>
            <w:r>
              <w:rPr>
                <w:color w:val="0000FF"/>
                <w:sz w:val="24"/>
              </w:rPr>
              <w:t>V. punto 2.2 y el enlace al módulo “Violencia contra la asistencia de salud”.</w:t>
            </w:r>
          </w:p>
        </w:tc>
      </w:tr>
      <w:tr w:rsidR="0062232E" w:rsidRPr="00D66976" w14:paraId="79FAADBC" w14:textId="77777777" w:rsidTr="00866726">
        <w:tc>
          <w:tcPr>
            <w:tcW w:w="3686" w:type="dxa"/>
            <w:vMerge/>
          </w:tcPr>
          <w:p w14:paraId="79FAADAE" w14:textId="77777777" w:rsidR="0062232E" w:rsidRPr="002778DA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79FAADB0" w14:textId="72355C2B" w:rsidR="0062232E" w:rsidRPr="00D66976" w:rsidRDefault="0062232E" w:rsidP="00D66976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las responsabilidades del personal de salud que trabaja en situaciones de crisis y las normas principales relacionadas con la salud y la </w:t>
            </w:r>
            <w:r>
              <w:rPr>
                <w:sz w:val="24"/>
              </w:rPr>
              <w:lastRenderedPageBreak/>
              <w:t xml:space="preserve">protección de las personas heridas y enfermas, así como con la protección del personal y de los servicios de salud en general. </w:t>
            </w:r>
          </w:p>
        </w:tc>
        <w:tc>
          <w:tcPr>
            <w:tcW w:w="5953" w:type="dxa"/>
          </w:tcPr>
          <w:p w14:paraId="79FAADB1" w14:textId="77777777" w:rsidR="0062232E" w:rsidRPr="007872C8" w:rsidRDefault="0062232E" w:rsidP="00921E03">
            <w:pPr>
              <w:rPr>
                <w:rFonts w:cs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lastRenderedPageBreak/>
              <w:t>Parte principal de la sesión jurídica</w:t>
            </w:r>
          </w:p>
          <w:p w14:paraId="79FAADB2" w14:textId="3E33F964" w:rsidR="0062232E" w:rsidRPr="007872C8" w:rsidRDefault="007872C8" w:rsidP="00921E03">
            <w:pPr>
              <w:rPr>
                <w:rFonts w:cstheme="minorHAnsi"/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</w:rPr>
              <w:t>Enlace a otros módulos, como “Violencia contra la asistencia de salud” y “Protección humanitaria”.</w:t>
            </w:r>
          </w:p>
          <w:p w14:paraId="79FAADB3" w14:textId="77777777" w:rsidR="0062232E" w:rsidRPr="002778DA" w:rsidRDefault="0062232E" w:rsidP="00921E03">
            <w:pPr>
              <w:rPr>
                <w:rFonts w:cstheme="minorHAnsi"/>
                <w:sz w:val="24"/>
                <w:szCs w:val="24"/>
                <w:lang w:val="es-AR"/>
              </w:rPr>
            </w:pPr>
          </w:p>
          <w:p w14:paraId="79FAADB4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lastRenderedPageBreak/>
              <w:t>Protección de las personas (militares y civiles) heridas y enfermas: respeto, protección, asistencia (en particular, evacuación e igualdad de trato).</w:t>
            </w:r>
          </w:p>
          <w:p w14:paraId="79FAADB5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 xml:space="preserve">Protección del personal sanitario </w:t>
            </w:r>
          </w:p>
          <w:p w14:paraId="79FAADB6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En el campo de batalla: no puede ser atacado, puede realizar sus actividades de conformidad con la ética médica, etc.</w:t>
            </w:r>
          </w:p>
          <w:p w14:paraId="79FAADB7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En poder del enemigo: repatriación o empleo para atender a los prisioneros de guerra.</w:t>
            </w:r>
          </w:p>
          <w:p w14:paraId="79FAADB8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En control del enemigo: derecho a desempeñar la labor sanitaria.</w:t>
            </w:r>
          </w:p>
          <w:p w14:paraId="79FAADB9" w14:textId="77777777" w:rsidR="0062232E" w:rsidRPr="00610D69" w:rsidRDefault="0062232E" w:rsidP="00012938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</w:rPr>
              <w:t>Deberes del personal sanitario (en particular, la abstención de participar en las hostilidades, la asistencia sin discriminación, etc.).</w:t>
            </w:r>
          </w:p>
          <w:p w14:paraId="79FAADBA" w14:textId="77777777" w:rsidR="0062232E" w:rsidRPr="00610D69" w:rsidRDefault="0062232E" w:rsidP="00120B2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Protección de los servicios médicos y casos de pérdida de la protección.</w:t>
            </w:r>
          </w:p>
          <w:p w14:paraId="79FAADBB" w14:textId="32CF62E6" w:rsidR="0062232E" w:rsidRPr="002778DA" w:rsidRDefault="0062232E" w:rsidP="00921E03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s-AR"/>
              </w:rPr>
            </w:pPr>
          </w:p>
        </w:tc>
      </w:tr>
      <w:tr w:rsidR="00B870C5" w:rsidRPr="00D66976" w14:paraId="22D563F4" w14:textId="77777777" w:rsidTr="00866726">
        <w:tc>
          <w:tcPr>
            <w:tcW w:w="3686" w:type="dxa"/>
            <w:vMerge/>
          </w:tcPr>
          <w:p w14:paraId="3BE2E3F7" w14:textId="77777777" w:rsidR="00B870C5" w:rsidRPr="002778DA" w:rsidRDefault="00B870C5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00E900FD" w14:textId="7BF1E0DF" w:rsidR="007872C8" w:rsidRPr="007872C8" w:rsidRDefault="007872C8" w:rsidP="00120B2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Emblema de la cruz roja y de la media luna roja</w:t>
            </w:r>
          </w:p>
          <w:p w14:paraId="0A504690" w14:textId="7A0DDEDD" w:rsidR="00B870C5" w:rsidRPr="00B870C5" w:rsidRDefault="00B870C5" w:rsidP="007872C8">
            <w:pPr>
              <w:pStyle w:val="ListParagraph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i/>
                <w:iCs/>
                <w:sz w:val="24"/>
              </w:rPr>
              <w:t>Los participantes podrán</w:t>
            </w:r>
            <w:r>
              <w:rPr>
                <w:sz w:val="24"/>
              </w:rPr>
              <w:t xml:space="preserve"> explicar el uso protector e indicativo de los emblemas de la cruz roja, la media luna roja y el cristal rojo.</w:t>
            </w:r>
          </w:p>
        </w:tc>
        <w:tc>
          <w:tcPr>
            <w:tcW w:w="5953" w:type="dxa"/>
          </w:tcPr>
          <w:p w14:paraId="44AFAEE5" w14:textId="6B1CE313" w:rsidR="00B870C5" w:rsidRPr="00610D69" w:rsidRDefault="00B870C5" w:rsidP="00B870C5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sz w:val="24"/>
              </w:rPr>
              <w:t>Normas aplicables a los emblemas de la cruz roja, la media luna roja y el cristal rojo.</w:t>
            </w:r>
          </w:p>
        </w:tc>
      </w:tr>
      <w:tr w:rsidR="0062232E" w:rsidRPr="00D66976" w14:paraId="79FAADCC" w14:textId="77777777" w:rsidTr="00866726">
        <w:tc>
          <w:tcPr>
            <w:tcW w:w="3686" w:type="dxa"/>
            <w:vMerge/>
          </w:tcPr>
          <w:p w14:paraId="79FAADC7" w14:textId="77777777" w:rsidR="0062232E" w:rsidRPr="002778DA" w:rsidRDefault="0062232E" w:rsidP="00921E03">
            <w:pPr>
              <w:pStyle w:val="Normal1"/>
              <w:rPr>
                <w:rFonts w:asciiTheme="minorHAnsi" w:hAnsiTheme="minorHAnsi" w:cstheme="minorHAnsi"/>
                <w:sz w:val="24"/>
                <w:szCs w:val="24"/>
                <w:lang w:val="es-AR"/>
              </w:rPr>
            </w:pPr>
          </w:p>
        </w:tc>
        <w:tc>
          <w:tcPr>
            <w:tcW w:w="4395" w:type="dxa"/>
          </w:tcPr>
          <w:p w14:paraId="79FAADC8" w14:textId="10FCECA5" w:rsidR="0062232E" w:rsidRPr="00A77555" w:rsidRDefault="00D66976" w:rsidP="00120B2E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Derecho mundial de la salud</w:t>
            </w:r>
          </w:p>
          <w:p w14:paraId="79FAADC9" w14:textId="77777777" w:rsidR="0062232E" w:rsidRPr="00A77555" w:rsidRDefault="0062232E" w:rsidP="00921E03">
            <w:pPr>
              <w:pStyle w:val="Normal1"/>
              <w:ind w:left="3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</w:rPr>
              <w:t xml:space="preserve">Los participantes </w:t>
            </w:r>
            <w:r>
              <w:rPr>
                <w:rFonts w:asciiTheme="minorHAnsi" w:hAnsiTheme="minorHAnsi"/>
                <w:i/>
                <w:iCs/>
                <w:sz w:val="24"/>
              </w:rPr>
              <w:t>podrán</w:t>
            </w:r>
            <w:r>
              <w:rPr>
                <w:rFonts w:asciiTheme="minorHAnsi" w:hAnsiTheme="minorHAnsi"/>
                <w:i/>
                <w:sz w:val="24"/>
              </w:rPr>
              <w:t xml:space="preserve"> explica</w:t>
            </w:r>
            <w:r>
              <w:rPr>
                <w:rFonts w:asciiTheme="minorHAnsi" w:hAnsiTheme="minorHAnsi"/>
                <w:sz w:val="24"/>
              </w:rPr>
              <w:t xml:space="preserve">r la finalidad y el ámbito de aplicación del Reglamento Sanitario Internacional. </w:t>
            </w:r>
            <w:r>
              <w:rPr>
                <w:rFonts w:asciiTheme="minorHAnsi" w:hAnsiTheme="minorHAnsi"/>
                <w:i/>
                <w:sz w:val="24"/>
              </w:rPr>
              <w:t xml:space="preserve"> </w:t>
            </w:r>
          </w:p>
        </w:tc>
        <w:tc>
          <w:tcPr>
            <w:tcW w:w="5953" w:type="dxa"/>
          </w:tcPr>
          <w:p w14:paraId="79FAADCA" w14:textId="77777777" w:rsidR="0062232E" w:rsidRPr="00A77555" w:rsidRDefault="0062232E" w:rsidP="00921E03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</w:rPr>
              <w:t>Introducción breve</w:t>
            </w:r>
            <w:r>
              <w:rPr>
                <w:color w:val="0070C0"/>
                <w:sz w:val="24"/>
              </w:rPr>
              <w:t xml:space="preserve"> </w:t>
            </w:r>
            <w:r>
              <w:rPr>
                <w:sz w:val="24"/>
              </w:rPr>
              <w:t xml:space="preserve">al Reglamento Sanitario Internacional (2005), un acuerdo entre 196 países, incluidos todos los Estados Miembros de la OMS, para trabajar de manera conjunta por la seguridad sanitaria mundial. </w:t>
            </w:r>
          </w:p>
          <w:p w14:paraId="79FAADCB" w14:textId="4CAC9D93" w:rsidR="0062232E" w:rsidRPr="007872C8" w:rsidRDefault="00012938" w:rsidP="007872C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i/>
                <w:sz w:val="24"/>
                <w:szCs w:val="24"/>
              </w:rPr>
            </w:pPr>
            <w:r>
              <w:rPr>
                <w:sz w:val="24"/>
              </w:rPr>
              <w:t xml:space="preserve">Enfoque en la finalidad y en el ámbito de aplicación. </w:t>
            </w:r>
          </w:p>
        </w:tc>
      </w:tr>
    </w:tbl>
    <w:p w14:paraId="79FAADDB" w14:textId="77777777" w:rsidR="00120B2E" w:rsidRPr="002778DA" w:rsidRDefault="00120B2E">
      <w:pPr>
        <w:rPr>
          <w:rFonts w:cstheme="minorHAnsi"/>
          <w:sz w:val="24"/>
          <w:szCs w:val="24"/>
          <w:lang w:val="es-AR"/>
        </w:rPr>
      </w:pPr>
    </w:p>
    <w:sectPr w:rsidR="00120B2E" w:rsidRPr="002778DA" w:rsidSect="00120B2E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3C8B7" w14:textId="77777777" w:rsidR="00C2269E" w:rsidRDefault="00C2269E" w:rsidP="0062232E">
      <w:pPr>
        <w:spacing w:after="0" w:line="240" w:lineRule="auto"/>
      </w:pPr>
      <w:r>
        <w:separator/>
      </w:r>
    </w:p>
  </w:endnote>
  <w:endnote w:type="continuationSeparator" w:id="0">
    <w:p w14:paraId="2D2DD4C5" w14:textId="77777777" w:rsidR="00C2269E" w:rsidRDefault="00C2269E" w:rsidP="0062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BD101" w14:textId="77777777" w:rsidR="00C2269E" w:rsidRDefault="00C2269E" w:rsidP="0062232E">
      <w:pPr>
        <w:spacing w:after="0" w:line="240" w:lineRule="auto"/>
      </w:pPr>
      <w:r>
        <w:separator/>
      </w:r>
    </w:p>
  </w:footnote>
  <w:footnote w:type="continuationSeparator" w:id="0">
    <w:p w14:paraId="6EC6572F" w14:textId="77777777" w:rsidR="00C2269E" w:rsidRDefault="00C2269E" w:rsidP="0062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AADE0" w14:textId="191CCDF1" w:rsidR="0062232E" w:rsidRPr="0062232E" w:rsidRDefault="00A75569">
    <w:pPr>
      <w:pStyle w:val="Header"/>
    </w:pPr>
    <w:r>
      <w:t xml:space="preserve">Versión </w:t>
    </w:r>
    <w:r>
      <w:rPr>
        <w:highlight w:val="yellow"/>
      </w:rPr>
      <w:t>final</w:t>
    </w:r>
    <w:r>
      <w:t xml:space="preserve"> 16/12/2019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8D"/>
    <w:multiLevelType w:val="multilevel"/>
    <w:tmpl w:val="0DC83026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  <w:b w:val="0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021B5"/>
    <w:multiLevelType w:val="hybridMultilevel"/>
    <w:tmpl w:val="8412087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70B1"/>
    <w:multiLevelType w:val="hybridMultilevel"/>
    <w:tmpl w:val="0A54A7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54E2F"/>
    <w:multiLevelType w:val="hybridMultilevel"/>
    <w:tmpl w:val="675471D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E7E07"/>
    <w:multiLevelType w:val="hybridMultilevel"/>
    <w:tmpl w:val="6756E4B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31A1D"/>
    <w:multiLevelType w:val="hybridMultilevel"/>
    <w:tmpl w:val="E6EEC86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65534"/>
    <w:multiLevelType w:val="hybridMultilevel"/>
    <w:tmpl w:val="E230E24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4E62"/>
    <w:multiLevelType w:val="multilevel"/>
    <w:tmpl w:val="FC68D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C38420B"/>
    <w:multiLevelType w:val="hybridMultilevel"/>
    <w:tmpl w:val="B59CC9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64E0B"/>
    <w:multiLevelType w:val="hybridMultilevel"/>
    <w:tmpl w:val="66567AF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95A4C"/>
    <w:multiLevelType w:val="multilevel"/>
    <w:tmpl w:val="31423CB6"/>
    <w:lvl w:ilvl="0">
      <w:start w:val="2"/>
      <w:numFmt w:val="none"/>
      <w:lvlText w:val="3.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F53A17"/>
    <w:multiLevelType w:val="hybridMultilevel"/>
    <w:tmpl w:val="9CAAA54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43A06"/>
    <w:multiLevelType w:val="hybridMultilevel"/>
    <w:tmpl w:val="7916AAD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C4351"/>
    <w:multiLevelType w:val="hybridMultilevel"/>
    <w:tmpl w:val="688C53DA"/>
    <w:lvl w:ilvl="0" w:tplc="FA540C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1700D3"/>
    <w:multiLevelType w:val="hybridMultilevel"/>
    <w:tmpl w:val="6184827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80D62"/>
    <w:multiLevelType w:val="hybridMultilevel"/>
    <w:tmpl w:val="E11EF73A"/>
    <w:lvl w:ilvl="0" w:tplc="B49C553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36194D"/>
    <w:multiLevelType w:val="hybridMultilevel"/>
    <w:tmpl w:val="A810F51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966"/>
    <w:multiLevelType w:val="hybridMultilevel"/>
    <w:tmpl w:val="5A18DF9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73B64"/>
    <w:multiLevelType w:val="hybridMultilevel"/>
    <w:tmpl w:val="6630A8D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439BA"/>
    <w:multiLevelType w:val="multilevel"/>
    <w:tmpl w:val="19229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/>
        <w:color w:val="000000" w:themeColor="text1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20" w15:restartNumberingAfterBreak="0">
    <w:nsid w:val="32EA7CD2"/>
    <w:multiLevelType w:val="hybridMultilevel"/>
    <w:tmpl w:val="D7E2AC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962110"/>
    <w:multiLevelType w:val="multilevel"/>
    <w:tmpl w:val="2A30C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22" w15:restartNumberingAfterBreak="0">
    <w:nsid w:val="387E024A"/>
    <w:multiLevelType w:val="hybridMultilevel"/>
    <w:tmpl w:val="CD1A0F3E"/>
    <w:lvl w:ilvl="0" w:tplc="FA540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E66D3"/>
    <w:multiLevelType w:val="hybridMultilevel"/>
    <w:tmpl w:val="F878A5D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903A2"/>
    <w:multiLevelType w:val="hybridMultilevel"/>
    <w:tmpl w:val="1FFEA3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A4B0A"/>
    <w:multiLevelType w:val="hybridMultilevel"/>
    <w:tmpl w:val="26641E74"/>
    <w:lvl w:ilvl="0" w:tplc="100C0001">
      <w:start w:val="1"/>
      <w:numFmt w:val="bullet"/>
      <w:lvlText w:val=""/>
      <w:lvlJc w:val="left"/>
      <w:pPr>
        <w:ind w:left="624" w:hanging="511"/>
      </w:pPr>
      <w:rPr>
        <w:rFonts w:ascii="Symbol" w:hAnsi="Symbol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C2A44"/>
    <w:multiLevelType w:val="hybridMultilevel"/>
    <w:tmpl w:val="3CCA7BB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9122E"/>
    <w:multiLevelType w:val="hybridMultilevel"/>
    <w:tmpl w:val="387A03A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E6BE1"/>
    <w:multiLevelType w:val="multilevel"/>
    <w:tmpl w:val="B58425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603B7AB3"/>
    <w:multiLevelType w:val="hybridMultilevel"/>
    <w:tmpl w:val="6ED07ECA"/>
    <w:lvl w:ilvl="0" w:tplc="DBC2379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047231"/>
    <w:multiLevelType w:val="hybridMultilevel"/>
    <w:tmpl w:val="2A4AD68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C0F7A"/>
    <w:multiLevelType w:val="hybridMultilevel"/>
    <w:tmpl w:val="B80E8B5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540C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10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72BB1"/>
    <w:multiLevelType w:val="multilevel"/>
    <w:tmpl w:val="637C07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D335A57"/>
    <w:multiLevelType w:val="multilevel"/>
    <w:tmpl w:val="BA3E7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32"/>
  </w:num>
  <w:num w:numId="5">
    <w:abstractNumId w:val="28"/>
  </w:num>
  <w:num w:numId="6">
    <w:abstractNumId w:val="7"/>
  </w:num>
  <w:num w:numId="7">
    <w:abstractNumId w:val="19"/>
  </w:num>
  <w:num w:numId="8">
    <w:abstractNumId w:val="29"/>
  </w:num>
  <w:num w:numId="9">
    <w:abstractNumId w:val="12"/>
  </w:num>
  <w:num w:numId="10">
    <w:abstractNumId w:val="30"/>
  </w:num>
  <w:num w:numId="11">
    <w:abstractNumId w:val="26"/>
  </w:num>
  <w:num w:numId="12">
    <w:abstractNumId w:val="4"/>
  </w:num>
  <w:num w:numId="13">
    <w:abstractNumId w:val="22"/>
  </w:num>
  <w:num w:numId="14">
    <w:abstractNumId w:val="31"/>
  </w:num>
  <w:num w:numId="15">
    <w:abstractNumId w:val="16"/>
  </w:num>
  <w:num w:numId="16">
    <w:abstractNumId w:val="25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15"/>
  </w:num>
  <w:num w:numId="22">
    <w:abstractNumId w:val="24"/>
  </w:num>
  <w:num w:numId="23">
    <w:abstractNumId w:val="23"/>
  </w:num>
  <w:num w:numId="24">
    <w:abstractNumId w:val="20"/>
  </w:num>
  <w:num w:numId="25">
    <w:abstractNumId w:val="11"/>
  </w:num>
  <w:num w:numId="26">
    <w:abstractNumId w:val="9"/>
  </w:num>
  <w:num w:numId="27">
    <w:abstractNumId w:val="6"/>
  </w:num>
  <w:num w:numId="28">
    <w:abstractNumId w:val="2"/>
  </w:num>
  <w:num w:numId="29">
    <w:abstractNumId w:val="27"/>
  </w:num>
  <w:num w:numId="30">
    <w:abstractNumId w:val="18"/>
  </w:num>
  <w:num w:numId="31">
    <w:abstractNumId w:val="5"/>
  </w:num>
  <w:num w:numId="32">
    <w:abstractNumId w:val="33"/>
  </w:num>
  <w:num w:numId="33">
    <w:abstractNumId w:val="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2E"/>
    <w:rsid w:val="00012938"/>
    <w:rsid w:val="000164AA"/>
    <w:rsid w:val="00031DF6"/>
    <w:rsid w:val="000C47D4"/>
    <w:rsid w:val="00120B2E"/>
    <w:rsid w:val="00183D3B"/>
    <w:rsid w:val="002778DA"/>
    <w:rsid w:val="005870EC"/>
    <w:rsid w:val="00610D69"/>
    <w:rsid w:val="0062232E"/>
    <w:rsid w:val="00644059"/>
    <w:rsid w:val="006C7B59"/>
    <w:rsid w:val="007872C8"/>
    <w:rsid w:val="007B6F7D"/>
    <w:rsid w:val="00866726"/>
    <w:rsid w:val="00870CA3"/>
    <w:rsid w:val="008868B0"/>
    <w:rsid w:val="008B79BA"/>
    <w:rsid w:val="008C7BA9"/>
    <w:rsid w:val="008F0F3B"/>
    <w:rsid w:val="00964F76"/>
    <w:rsid w:val="00A75569"/>
    <w:rsid w:val="00A77555"/>
    <w:rsid w:val="00B870C5"/>
    <w:rsid w:val="00BB45AC"/>
    <w:rsid w:val="00C2269E"/>
    <w:rsid w:val="00C25A48"/>
    <w:rsid w:val="00C375D1"/>
    <w:rsid w:val="00C8479A"/>
    <w:rsid w:val="00CC404C"/>
    <w:rsid w:val="00D02119"/>
    <w:rsid w:val="00D66976"/>
    <w:rsid w:val="00F0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AAD5D"/>
  <w15:chartTrackingRefBased/>
  <w15:docId w15:val="{B4267702-37FC-4C78-95BD-96FAF1DF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2E"/>
    <w:pPr>
      <w:ind w:left="720"/>
      <w:contextualSpacing/>
    </w:pPr>
  </w:style>
  <w:style w:type="paragraph" w:customStyle="1" w:styleId="Normal1">
    <w:name w:val="Normal1"/>
    <w:rsid w:val="00120B2E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39"/>
    <w:rsid w:val="0012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32E"/>
  </w:style>
  <w:style w:type="paragraph" w:styleId="Footer">
    <w:name w:val="footer"/>
    <w:basedOn w:val="Normal"/>
    <w:link w:val="FooterChar"/>
    <w:uiPriority w:val="99"/>
    <w:unhideWhenUsed/>
    <w:rsid w:val="0062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32E"/>
  </w:style>
  <w:style w:type="paragraph" w:styleId="BalloonText">
    <w:name w:val="Balloon Text"/>
    <w:basedOn w:val="Normal"/>
    <w:link w:val="BalloonTextChar"/>
    <w:uiPriority w:val="99"/>
    <w:semiHidden/>
    <w:unhideWhenUsed/>
    <w:rsid w:val="00C3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2019-05-02T22:00:00+00:00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TSASSIST-19-1405</_dlc_DocId>
    <_dlc_DocIdUrl xmlns="a8a2af44-4b8d-404b-a8bd-4186350a523c">
      <Url>https://collab.ext.icrc.org/sites/TS_ASSIST/_layouts/15/DocIdRedir.aspx?ID=TSASSIST-19-1405</Url>
      <Description>TSASSIST-19-1405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DFE66A-E583-445B-8296-37A6B4F03B8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ECD8931-AE12-48B0-81D4-A641AE0751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AA77D-332E-4E5D-8416-21F9FF01D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373A01-547E-4C57-BAC2-3E1E7638D37D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AA0BE8B-3B3A-43C0-8F52-E29602602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2</cp:revision>
  <cp:lastPrinted>2019-12-16T14:08:00Z</cp:lastPrinted>
  <dcterms:created xsi:type="dcterms:W3CDTF">2021-09-01T09:45:00Z</dcterms:created>
  <dcterms:modified xsi:type="dcterms:W3CDTF">2021-09-01T09:45:00Z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32d9c584-5d82-49db-89e3-cc43ae949cc1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</Properties>
</file>