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412F" w14:textId="006F650A" w:rsidR="00A77555" w:rsidRDefault="00A77555" w:rsidP="00A77555">
      <w:pPr>
        <w:tabs>
          <w:tab w:val="left" w:pos="660"/>
          <w:tab w:val="center" w:pos="7002"/>
        </w:tabs>
        <w:rPr>
          <w:b/>
          <w:sz w:val="32"/>
          <w:u w:val="single"/>
          <w:lang w:val="en-GB"/>
        </w:rPr>
      </w:pPr>
      <w:r w:rsidRPr="00BB45AC">
        <w:rPr>
          <w:b/>
          <w:sz w:val="32"/>
          <w:lang w:val="en-GB"/>
        </w:rPr>
        <w:tab/>
      </w:r>
      <w:r w:rsidRPr="00BB45AC">
        <w:rPr>
          <w:b/>
          <w:sz w:val="32"/>
          <w:lang w:val="en-GB"/>
        </w:rPr>
        <w:tab/>
      </w:r>
      <w:r w:rsidR="0062232E" w:rsidRPr="0062232E">
        <w:rPr>
          <w:b/>
          <w:sz w:val="32"/>
          <w:u w:val="single"/>
          <w:lang w:val="en-GB"/>
        </w:rPr>
        <w:t>H</w:t>
      </w:r>
      <w:r w:rsidR="00D66976">
        <w:rPr>
          <w:b/>
          <w:sz w:val="32"/>
          <w:u w:val="single"/>
          <w:lang w:val="en-GB"/>
        </w:rPr>
        <w:t>ealth Emergencies in Large Populations (H.E.L.P.) C</w:t>
      </w:r>
      <w:r>
        <w:rPr>
          <w:b/>
          <w:sz w:val="32"/>
          <w:u w:val="single"/>
          <w:lang w:val="en-GB"/>
        </w:rPr>
        <w:t>ourse</w:t>
      </w:r>
    </w:p>
    <w:p w14:paraId="285349B3" w14:textId="2F0D980B" w:rsidR="00A77555" w:rsidRPr="00A77555" w:rsidRDefault="00D66976" w:rsidP="00A77555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Legal F</w:t>
      </w:r>
      <w:r w:rsidR="00A77555" w:rsidRPr="00A77555">
        <w:rPr>
          <w:b/>
          <w:sz w:val="32"/>
          <w:lang w:val="en-GB"/>
        </w:rPr>
        <w:t>ramework</w:t>
      </w:r>
    </w:p>
    <w:p w14:paraId="79FAAD5E" w14:textId="102AC165" w:rsidR="00120B2E" w:rsidRPr="00A77555" w:rsidRDefault="00D66976" w:rsidP="00A77555">
      <w:pPr>
        <w:jc w:val="center"/>
        <w:rPr>
          <w:b/>
          <w:color w:val="FF0000"/>
          <w:sz w:val="32"/>
          <w:lang w:val="en-GB"/>
        </w:rPr>
      </w:pPr>
      <w:r>
        <w:rPr>
          <w:b/>
          <w:color w:val="FF0000"/>
          <w:sz w:val="32"/>
          <w:lang w:val="en-GB"/>
        </w:rPr>
        <w:t xml:space="preserve">Time: </w:t>
      </w:r>
      <w:r w:rsidR="0062232E" w:rsidRPr="00A77555">
        <w:rPr>
          <w:b/>
          <w:color w:val="FF0000"/>
          <w:sz w:val="32"/>
          <w:lang w:val="en-GB"/>
        </w:rPr>
        <w:t>90 minutes</w:t>
      </w:r>
    </w:p>
    <w:tbl>
      <w:tblPr>
        <w:tblStyle w:val="TableGrid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5953"/>
      </w:tblGrid>
      <w:tr w:rsidR="00120B2E" w:rsidRPr="00A77555" w14:paraId="79FAAD63" w14:textId="77777777" w:rsidTr="00866726">
        <w:trPr>
          <w:trHeight w:val="889"/>
        </w:trPr>
        <w:tc>
          <w:tcPr>
            <w:tcW w:w="3686" w:type="dxa"/>
            <w:shd w:val="clear" w:color="auto" w:fill="DEEAF6" w:themeFill="accent1" w:themeFillTint="33"/>
          </w:tcPr>
          <w:p w14:paraId="79FAAD60" w14:textId="33507353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</w:tc>
        <w:tc>
          <w:tcPr>
            <w:tcW w:w="4395" w:type="dxa"/>
            <w:shd w:val="clear" w:color="auto" w:fill="DEEAF6" w:themeFill="accent1" w:themeFillTint="33"/>
          </w:tcPr>
          <w:p w14:paraId="79FAAD61" w14:textId="77777777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79FAAD62" w14:textId="77777777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  <w:t>Core issues / Reference topics</w:t>
            </w:r>
          </w:p>
        </w:tc>
      </w:tr>
      <w:tr w:rsidR="00C25A48" w:rsidRPr="00D66976" w14:paraId="79FAAD79" w14:textId="77777777" w:rsidTr="00866726">
        <w:tc>
          <w:tcPr>
            <w:tcW w:w="3686" w:type="dxa"/>
            <w:vMerge w:val="restart"/>
          </w:tcPr>
          <w:p w14:paraId="79FAAD6D" w14:textId="2BC4F2F3" w:rsidR="00C25A48" w:rsidRPr="00D66976" w:rsidRDefault="00C25A48" w:rsidP="00D66976">
            <w:pPr>
              <w:pStyle w:val="Normal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n-GB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explain which </w:t>
            </w:r>
            <w:r w:rsidRPr="00A7755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legal instruments are of key relevance in situations of armed conflict and </w:t>
            </w:r>
            <w:r w:rsidR="00D66976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other humanitarian crises</w:t>
            </w:r>
            <w:r w:rsidRPr="00D66976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and when and how these are applicable</w:t>
            </w:r>
          </w:p>
        </w:tc>
        <w:tc>
          <w:tcPr>
            <w:tcW w:w="4395" w:type="dxa"/>
          </w:tcPr>
          <w:p w14:paraId="79FAAD6E" w14:textId="5A8B80BD" w:rsidR="00C25A48" w:rsidRPr="00964F76" w:rsidRDefault="00D66976" w:rsidP="00964F76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color w:val="0070C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International Humanitarian L</w:t>
            </w:r>
            <w:r w:rsidR="00C25A48" w:rsidRPr="00964F76">
              <w:rPr>
                <w:rFonts w:cstheme="minorHAnsi"/>
                <w:b/>
                <w:sz w:val="24"/>
                <w:szCs w:val="24"/>
                <w:lang w:val="en-GB"/>
              </w:rPr>
              <w:t>aw (IHL)</w:t>
            </w:r>
          </w:p>
          <w:p w14:paraId="79FAAD6F" w14:textId="77777777" w:rsidR="00C25A48" w:rsidRPr="00A77555" w:rsidRDefault="00C25A48" w:rsidP="00921E03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distinguish different situations of violence and identify the main IHL instruments applicable to each of these  </w:t>
            </w:r>
          </w:p>
        </w:tc>
        <w:tc>
          <w:tcPr>
            <w:tcW w:w="5953" w:type="dxa"/>
          </w:tcPr>
          <w:p w14:paraId="79FAAD70" w14:textId="77777777" w:rsidR="00C25A48" w:rsidRPr="00A77555" w:rsidRDefault="00C25A48" w:rsidP="00921E03">
            <w:pPr>
              <w:rPr>
                <w:rFonts w:cstheme="minorHAnsi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i/>
                <w:color w:val="2E74B5" w:themeColor="accent1" w:themeShade="BF"/>
                <w:sz w:val="24"/>
                <w:szCs w:val="24"/>
                <w:lang w:val="en-GB"/>
              </w:rPr>
              <w:t>Main part of the session on legal instruments</w:t>
            </w:r>
          </w:p>
          <w:p w14:paraId="79FAAD71" w14:textId="77777777" w:rsidR="00C25A48" w:rsidRPr="00A77555" w:rsidRDefault="00C25A48" w:rsidP="0001293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International armed conflicts (IAC), non-international armed conflicts (NIAC) and other situations of violence (OSV)</w:t>
            </w:r>
          </w:p>
          <w:p w14:paraId="79FAAD72" w14:textId="77777777" w:rsidR="00C25A48" w:rsidRPr="00A77555" w:rsidRDefault="00C25A48" w:rsidP="0001293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Main instruments:</w:t>
            </w:r>
          </w:p>
          <w:p w14:paraId="79FAAD73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Geneva Conventions 1949</w:t>
            </w:r>
          </w:p>
          <w:p w14:paraId="79FAAD74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Additional Protocols 1977 (IAC and NIAC)</w:t>
            </w:r>
          </w:p>
          <w:p w14:paraId="79FAAD75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Identify the main parts applicable to IAC and NIAC</w:t>
            </w:r>
          </w:p>
          <w:p w14:paraId="79FAAD76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Common Article 2 Geneva Conventions (definition of IAC),</w:t>
            </w:r>
          </w:p>
          <w:p w14:paraId="79FAAD78" w14:textId="145B477A" w:rsidR="00C25A48" w:rsidRPr="008868B0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Common Article 3 Geneva Conventions (definition of NIAC)</w:t>
            </w:r>
          </w:p>
        </w:tc>
      </w:tr>
      <w:tr w:rsidR="00C25A48" w:rsidRPr="00D66976" w14:paraId="79FAAD80" w14:textId="77777777" w:rsidTr="00866726">
        <w:tc>
          <w:tcPr>
            <w:tcW w:w="3686" w:type="dxa"/>
            <w:vMerge/>
          </w:tcPr>
          <w:p w14:paraId="79FAAD7A" w14:textId="77777777" w:rsidR="00C25A48" w:rsidRPr="00A77555" w:rsidRDefault="00C25A48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79FAAD7B" w14:textId="2954E160" w:rsidR="00C25A48" w:rsidRPr="008C7BA9" w:rsidRDefault="00D66976" w:rsidP="00B870C5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International Human Rights L</w:t>
            </w:r>
            <w:r w:rsidR="00C25A48" w:rsidRPr="008C7BA9">
              <w:rPr>
                <w:rFonts w:cstheme="minorHAnsi"/>
                <w:b/>
                <w:sz w:val="24"/>
                <w:szCs w:val="24"/>
                <w:lang w:val="en-GB"/>
              </w:rPr>
              <w:t>aw (IHRL)</w:t>
            </w:r>
          </w:p>
          <w:p w14:paraId="79FAAD7C" w14:textId="476EDCB9" w:rsidR="00C25A48" w:rsidRPr="00A77555" w:rsidRDefault="00C25A48" w:rsidP="00921E03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explain what human rights are, who has the obligation to respect and </w:t>
            </w: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protect them and who </w:t>
            </w:r>
            <w:r w:rsidR="00D66976" w:rsidRPr="00A77555">
              <w:rPr>
                <w:rFonts w:cstheme="minorHAnsi"/>
                <w:sz w:val="24"/>
                <w:szCs w:val="24"/>
                <w:lang w:val="en-GB"/>
              </w:rPr>
              <w:t>are</w:t>
            </w:r>
            <w:r w:rsidR="00D66976"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the intended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beneficiaries </w:t>
            </w:r>
          </w:p>
        </w:tc>
        <w:tc>
          <w:tcPr>
            <w:tcW w:w="5953" w:type="dxa"/>
          </w:tcPr>
          <w:p w14:paraId="79FAAD7D" w14:textId="77777777" w:rsidR="00C25A48" w:rsidRPr="00A77555" w:rsidRDefault="00C25A48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  <w:t xml:space="preserve">Main part of the session on legal instruments </w:t>
            </w:r>
          </w:p>
          <w:p w14:paraId="79FAAD7E" w14:textId="77777777" w:rsidR="00C25A48" w:rsidRPr="00A77555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Human rights as rights which individuals and groups can expect to enjoy and/or claim</w:t>
            </w:r>
          </w:p>
          <w:p w14:paraId="3DC407BE" w14:textId="77777777" w:rsidR="00C25A48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Obligation to respect and protect human rights placed upon States only (majority view reflecting the existing view, with a growing minority in favo</w:t>
            </w:r>
            <w:r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>r of seeing non-State armed groups be bound by human rights law)</w:t>
            </w:r>
          </w:p>
          <w:p w14:paraId="79FAAD7F" w14:textId="4D2DF482" w:rsidR="00C25A48" w:rsidRPr="00A77555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Most relevant instruments </w:t>
            </w:r>
            <w:r w:rsidRPr="008868B0">
              <w:rPr>
                <w:rFonts w:cstheme="minorHAnsi"/>
                <w:i/>
                <w:sz w:val="24"/>
                <w:szCs w:val="24"/>
                <w:lang w:val="en-GB"/>
              </w:rPr>
              <w:t>(just to know their existence)</w:t>
            </w:r>
          </w:p>
        </w:tc>
      </w:tr>
      <w:tr w:rsidR="008868B0" w:rsidRPr="00D66976" w14:paraId="5D6518D6" w14:textId="77777777" w:rsidTr="00866726">
        <w:tc>
          <w:tcPr>
            <w:tcW w:w="3686" w:type="dxa"/>
          </w:tcPr>
          <w:p w14:paraId="74D74681" w14:textId="77777777" w:rsidR="008868B0" w:rsidRPr="00A77555" w:rsidRDefault="008868B0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50EC1D80" w14:textId="77777777" w:rsidR="008868B0" w:rsidRPr="00A77555" w:rsidRDefault="008868B0" w:rsidP="008868B0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sz w:val="24"/>
                <w:szCs w:val="24"/>
                <w:lang w:val="en-GB"/>
              </w:rPr>
              <w:t>IHL vs IHRL</w:t>
            </w:r>
          </w:p>
          <w:p w14:paraId="01B8B37C" w14:textId="0D34A293" w:rsidR="008868B0" w:rsidRPr="008C7BA9" w:rsidRDefault="008868B0" w:rsidP="008868B0">
            <w:pPr>
              <w:pStyle w:val="ListParagraph"/>
              <w:ind w:left="4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>explain the difference between IHRL and IHL in terms of scope of application</w:t>
            </w:r>
          </w:p>
        </w:tc>
        <w:tc>
          <w:tcPr>
            <w:tcW w:w="5953" w:type="dxa"/>
          </w:tcPr>
          <w:p w14:paraId="3A9F180C" w14:textId="77777777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8868B0">
              <w:rPr>
                <w:rFonts w:cstheme="minorHAnsi"/>
                <w:sz w:val="24"/>
                <w:szCs w:val="24"/>
                <w:lang w:val="en-GB"/>
              </w:rPr>
              <w:t>Differences in thematic, personal and geographic scopes of application between the two regimes</w:t>
            </w:r>
          </w:p>
          <w:p w14:paraId="06B620E4" w14:textId="77777777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8868B0">
              <w:rPr>
                <w:rFonts w:cstheme="minorHAnsi"/>
                <w:sz w:val="24"/>
                <w:szCs w:val="24"/>
                <w:lang w:val="en-GB"/>
              </w:rPr>
              <w:t>Human rights are applicable at all time, including during armed conflict</w:t>
            </w:r>
          </w:p>
          <w:p w14:paraId="25CA4FD3" w14:textId="2EFBA358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8868B0">
              <w:rPr>
                <w:rFonts w:cstheme="minorHAnsi"/>
                <w:sz w:val="24"/>
                <w:szCs w:val="24"/>
                <w:lang w:val="en-GB"/>
              </w:rPr>
              <w:t>Possibility to derogate from certain obligations during public emergencies that threaten the life of the nation (+ conditions for derogations). However, certain rights can never be derogated   or degrading treatment or punishment; prohibition against slavery</w:t>
            </w:r>
          </w:p>
        </w:tc>
      </w:tr>
      <w:tr w:rsidR="0062232E" w:rsidRPr="00A77555" w14:paraId="79FAADA3" w14:textId="77777777" w:rsidTr="00866726">
        <w:tc>
          <w:tcPr>
            <w:tcW w:w="3686" w:type="dxa"/>
          </w:tcPr>
          <w:p w14:paraId="79FAAD9B" w14:textId="77777777" w:rsidR="0062232E" w:rsidRPr="00A77555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79FAAD9C" w14:textId="7F99F214" w:rsidR="0062232E" w:rsidRPr="00A77555" w:rsidRDefault="00B870C5" w:rsidP="00B870C5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Refugees,</w:t>
            </w:r>
            <w:r w:rsidR="0062232E" w:rsidRPr="00A77555">
              <w:rPr>
                <w:rFonts w:cstheme="minorHAnsi"/>
                <w:b/>
                <w:sz w:val="24"/>
                <w:szCs w:val="24"/>
                <w:lang w:val="en-GB"/>
              </w:rPr>
              <w:t xml:space="preserve"> IDPs</w:t>
            </w:r>
            <w:r w:rsidR="00D66976">
              <w:rPr>
                <w:rFonts w:cstheme="minorHAnsi"/>
                <w:b/>
                <w:sz w:val="24"/>
                <w:szCs w:val="24"/>
                <w:lang w:val="en-GB"/>
              </w:rPr>
              <w:t>, M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igrants</w:t>
            </w:r>
          </w:p>
          <w:p w14:paraId="79FAAD9D" w14:textId="108AC73E" w:rsidR="008C7BA9" w:rsidRPr="00A77555" w:rsidRDefault="008C7BA9" w:rsidP="008C7BA9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>explain the distinction between refugees,</w:t>
            </w:r>
            <w:r w:rsidR="00D66976">
              <w:rPr>
                <w:rFonts w:cstheme="minorHAnsi"/>
                <w:sz w:val="24"/>
                <w:szCs w:val="24"/>
                <w:lang w:val="en-GB"/>
              </w:rPr>
              <w:t xml:space="preserve"> displaced persons and migrants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 and the main rules applicable to each category</w:t>
            </w:r>
          </w:p>
        </w:tc>
        <w:tc>
          <w:tcPr>
            <w:tcW w:w="5953" w:type="dxa"/>
          </w:tcPr>
          <w:p w14:paraId="34B023C2" w14:textId="77777777" w:rsidR="008C7BA9" w:rsidRPr="00012938" w:rsidRDefault="008C7BA9" w:rsidP="008C7BA9">
            <w:pPr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  <w:t xml:space="preserve">Short introduction only </w:t>
            </w:r>
            <w:proofErr w:type="gramStart"/>
            <w:r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>n order to</w:t>
            </w:r>
            <w:proofErr w:type="gramEnd"/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 understand the legal meaning (and hence applicable protection) of the various categories, and make sure that the terms are used correctly</w:t>
            </w:r>
          </w:p>
          <w:p w14:paraId="199606CD" w14:textId="77777777" w:rsidR="008C7BA9" w:rsidRPr="00A77555" w:rsidRDefault="008C7BA9" w:rsidP="008C7B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Discuss the distinction between refugees, internally displaced persons, and migrants</w:t>
            </w:r>
          </w:p>
          <w:p w14:paraId="6E6AB5A9" w14:textId="2B8FB479" w:rsidR="008C7BA9" w:rsidRDefault="008C7BA9" w:rsidP="008C7B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Definition of refugee as a legal status</w:t>
            </w:r>
          </w:p>
          <w:p w14:paraId="79FAAD9E" w14:textId="0EC80AB6" w:rsidR="0062232E" w:rsidRPr="00A77555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Existing international and regional instruments </w:t>
            </w:r>
          </w:p>
          <w:p w14:paraId="79FAAD9F" w14:textId="77777777" w:rsidR="0062232E" w:rsidRPr="00A77555" w:rsidRDefault="0062232E" w:rsidP="0001293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Geneva Convention on the definition of the status of refugees (1951)</w:t>
            </w:r>
          </w:p>
          <w:p w14:paraId="79FAADA0" w14:textId="77777777" w:rsidR="0062232E" w:rsidRPr="00A77555" w:rsidRDefault="0062232E" w:rsidP="0001293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OAU Convention Governing the Specific Aspects of Refugee Problems in Africa (1969)</w:t>
            </w:r>
          </w:p>
          <w:p w14:paraId="265C30BD" w14:textId="77777777" w:rsidR="008B79BA" w:rsidRDefault="0062232E" w:rsidP="008B79B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(non-binding) UN Guiding Principles on IDPs</w:t>
            </w:r>
          </w:p>
          <w:p w14:paraId="79FAADA2" w14:textId="69D9E8D1" w:rsidR="007872C8" w:rsidRPr="007872C8" w:rsidRDefault="0062232E" w:rsidP="007872C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B79BA">
              <w:rPr>
                <w:rFonts w:cstheme="minorHAnsi"/>
                <w:sz w:val="24"/>
                <w:szCs w:val="24"/>
                <w:lang w:val="en-GB"/>
              </w:rPr>
              <w:t>(IDPs) Kampala Convention</w:t>
            </w:r>
          </w:p>
        </w:tc>
      </w:tr>
      <w:tr w:rsidR="0062232E" w:rsidRPr="00D66976" w14:paraId="79FAADAD" w14:textId="77777777" w:rsidTr="00866726">
        <w:tc>
          <w:tcPr>
            <w:tcW w:w="3686" w:type="dxa"/>
            <w:vMerge w:val="restart"/>
          </w:tcPr>
          <w:p w14:paraId="79FAADA4" w14:textId="4F44991C" w:rsidR="0062232E" w:rsidRPr="00A77555" w:rsidRDefault="0062232E" w:rsidP="008C7BA9">
            <w:pPr>
              <w:pStyle w:val="Normal1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explain the basic rules and principles applicable in situations of armed conflict and other humanitarian crises </w:t>
            </w:r>
          </w:p>
        </w:tc>
        <w:tc>
          <w:tcPr>
            <w:tcW w:w="4395" w:type="dxa"/>
          </w:tcPr>
          <w:p w14:paraId="79FAADA6" w14:textId="586FFA84" w:rsidR="0062232E" w:rsidRPr="00D66976" w:rsidRDefault="0062232E" w:rsidP="00D6697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D66976">
              <w:rPr>
                <w:rFonts w:cstheme="minorHAnsi"/>
                <w:sz w:val="24"/>
                <w:szCs w:val="24"/>
                <w:lang w:val="en-GB"/>
              </w:rPr>
              <w:t>explain the most relevant rules of IHL</w:t>
            </w:r>
          </w:p>
        </w:tc>
        <w:tc>
          <w:tcPr>
            <w:tcW w:w="5953" w:type="dxa"/>
          </w:tcPr>
          <w:p w14:paraId="79FAADA7" w14:textId="77777777" w:rsidR="0062232E" w:rsidRPr="00A77555" w:rsidRDefault="0062232E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  <w:t>Main part of the legal session</w:t>
            </w:r>
          </w:p>
          <w:p w14:paraId="79FAADA8" w14:textId="77777777" w:rsidR="0062232E" w:rsidRPr="00A77555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Rules related to the conduct of hostilities: </w:t>
            </w:r>
          </w:p>
          <w:p w14:paraId="79FAADA9" w14:textId="77777777" w:rsidR="0062232E" w:rsidRPr="00A77555" w:rsidRDefault="0062232E" w:rsidP="0001293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>Principles of distinction, proportionality, precautions</w:t>
            </w:r>
          </w:p>
          <w:p w14:paraId="79FAADAA" w14:textId="77777777" w:rsidR="0062232E" w:rsidRPr="00610D69" w:rsidRDefault="0062232E" w:rsidP="0001293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Main rules related to means and methods of warfare (e.g. prohibition of indiscriminate attacks, </w:t>
            </w:r>
            <w:r w:rsidRPr="00610D69">
              <w:rPr>
                <w:rFonts w:cstheme="minorHAnsi"/>
                <w:sz w:val="24"/>
                <w:szCs w:val="24"/>
                <w:lang w:val="en-GB"/>
              </w:rPr>
              <w:lastRenderedPageBreak/>
              <w:t>prohibition of superfluous injury and unnecessary suffering, new weapons review, specifically prohibited methods of warfare, etc.)</w:t>
            </w:r>
          </w:p>
          <w:p w14:paraId="79FAADAB" w14:textId="77777777" w:rsidR="0062232E" w:rsidRPr="00610D69" w:rsidRDefault="0062232E" w:rsidP="000129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Rules related to the protected of persons in the hands of party to the conflict (e.g. humane treatment, rules applicable to detention, etc.)</w:t>
            </w:r>
          </w:p>
          <w:p w14:paraId="79FAADAC" w14:textId="795C03CB" w:rsidR="0062232E" w:rsidRPr="00610D69" w:rsidRDefault="0062232E" w:rsidP="00610D6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Main rules related to healt</w:t>
            </w:r>
            <w:r w:rsidR="00610D69" w:rsidRPr="00610D69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h-care (including </w:t>
            </w:r>
            <w:proofErr w:type="spellStart"/>
            <w:r w:rsidR="00610D69" w:rsidRPr="00610D69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HCiD</w:t>
            </w:r>
            <w:proofErr w:type="spellEnd"/>
            <w:r w:rsidR="00610D69" w:rsidRPr="00610D69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project) -</w:t>
            </w:r>
            <w:r w:rsidRPr="00610D69">
              <w:rPr>
                <w:rFonts w:cstheme="minorHAnsi"/>
                <w:color w:val="0000FF"/>
                <w:sz w:val="24"/>
                <w:szCs w:val="24"/>
                <w:lang w:val="en-GB"/>
              </w:rPr>
              <w:t>see below 2.2</w:t>
            </w:r>
            <w:r w:rsidRPr="00610D69">
              <w:rPr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r w:rsidRPr="00610D69">
              <w:rPr>
                <w:rFonts w:cstheme="minorHAnsi"/>
                <w:color w:val="0000FF"/>
                <w:sz w:val="24"/>
                <w:szCs w:val="24"/>
                <w:lang w:val="en-GB"/>
              </w:rPr>
              <w:t>/Link</w:t>
            </w:r>
            <w:r w:rsidR="00012938" w:rsidRPr="00610D69">
              <w:rPr>
                <w:rFonts w:cstheme="minorHAnsi"/>
                <w:color w:val="0000FF"/>
                <w:sz w:val="24"/>
                <w:szCs w:val="24"/>
                <w:lang w:val="en-GB"/>
              </w:rPr>
              <w:t xml:space="preserve"> to module Violence Against Health Care</w:t>
            </w:r>
          </w:p>
        </w:tc>
      </w:tr>
      <w:tr w:rsidR="0062232E" w:rsidRPr="00D66976" w14:paraId="79FAADBC" w14:textId="77777777" w:rsidTr="00866726">
        <w:tc>
          <w:tcPr>
            <w:tcW w:w="3686" w:type="dxa"/>
            <w:vMerge/>
          </w:tcPr>
          <w:p w14:paraId="79FAADAE" w14:textId="77777777" w:rsidR="0062232E" w:rsidRPr="00A77555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79FAADB0" w14:textId="72355C2B" w:rsidR="0062232E" w:rsidRPr="00D66976" w:rsidRDefault="0062232E" w:rsidP="00D66976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D6697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D66976">
              <w:rPr>
                <w:rFonts w:cstheme="minorHAnsi"/>
                <w:sz w:val="24"/>
                <w:szCs w:val="24"/>
                <w:lang w:val="en-GB"/>
              </w:rPr>
              <w:t>explain</w:t>
            </w:r>
            <w:r w:rsidR="00D66976">
              <w:rPr>
                <w:rFonts w:cstheme="minorHAnsi"/>
                <w:sz w:val="24"/>
                <w:szCs w:val="24"/>
                <w:lang w:val="en-GB"/>
              </w:rPr>
              <w:t xml:space="preserve"> the responsibilities of health</w:t>
            </w:r>
            <w:r w:rsidRPr="00D66976">
              <w:rPr>
                <w:rFonts w:cstheme="minorHAnsi"/>
                <w:sz w:val="24"/>
                <w:szCs w:val="24"/>
                <w:lang w:val="en-GB"/>
              </w:rPr>
              <w:t>care personnel working in crisis situations and the main rules linked to the care and</w:t>
            </w:r>
            <w:r w:rsidR="00D66976">
              <w:rPr>
                <w:rFonts w:cstheme="minorHAnsi"/>
                <w:sz w:val="24"/>
                <w:szCs w:val="24"/>
                <w:lang w:val="en-GB"/>
              </w:rPr>
              <w:t xml:space="preserve"> protection of wounded and sick and the protection of health</w:t>
            </w:r>
            <w:r w:rsidRPr="00D66976">
              <w:rPr>
                <w:rFonts w:cstheme="minorHAnsi"/>
                <w:sz w:val="24"/>
                <w:szCs w:val="24"/>
                <w:lang w:val="en-GB"/>
              </w:rPr>
              <w:t>care personn</w:t>
            </w:r>
            <w:r w:rsidR="007872C8" w:rsidRPr="00D66976">
              <w:rPr>
                <w:rFonts w:cstheme="minorHAnsi"/>
                <w:sz w:val="24"/>
                <w:szCs w:val="24"/>
                <w:lang w:val="en-GB"/>
              </w:rPr>
              <w:t xml:space="preserve">el and health services overall </w:t>
            </w:r>
          </w:p>
        </w:tc>
        <w:tc>
          <w:tcPr>
            <w:tcW w:w="5953" w:type="dxa"/>
          </w:tcPr>
          <w:p w14:paraId="79FAADB1" w14:textId="77777777" w:rsidR="0062232E" w:rsidRPr="007872C8" w:rsidRDefault="0062232E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</w:pPr>
            <w:r w:rsidRPr="007872C8"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  <w:t>Main part of the legal session</w:t>
            </w:r>
          </w:p>
          <w:p w14:paraId="79FAADB2" w14:textId="3E33F964" w:rsidR="0062232E" w:rsidRPr="007872C8" w:rsidRDefault="007872C8" w:rsidP="00921E03">
            <w:pPr>
              <w:rPr>
                <w:rFonts w:cstheme="minorHAnsi"/>
                <w:color w:val="0000FF"/>
                <w:sz w:val="24"/>
                <w:szCs w:val="24"/>
                <w:lang w:val="en-GB"/>
              </w:rPr>
            </w:pPr>
            <w:r w:rsidRPr="007872C8">
              <w:rPr>
                <w:rFonts w:cstheme="minorHAnsi"/>
                <w:color w:val="0000FF"/>
                <w:sz w:val="24"/>
                <w:szCs w:val="24"/>
                <w:lang w:val="en-GB"/>
              </w:rPr>
              <w:t>Link to other course modules, e.g. Violence against health care and Humanitarian protection</w:t>
            </w:r>
          </w:p>
          <w:p w14:paraId="79FAADB3" w14:textId="77777777" w:rsidR="0062232E" w:rsidRPr="00610D69" w:rsidRDefault="0062232E" w:rsidP="00921E03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9FAADB4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Protection of (military and civilian) wounded and sick: respect, protect, care (including evacuation and equal treatment)</w:t>
            </w:r>
          </w:p>
          <w:p w14:paraId="79FAADB5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 xml:space="preserve">Protection of medical personnel: </w:t>
            </w:r>
          </w:p>
          <w:p w14:paraId="79FAADB6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On the battlefield: may not be attacked, may perform medical duties in conformity with medical ethics, etc.</w:t>
            </w:r>
          </w:p>
          <w:p w14:paraId="79FAADB7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Once in enemy hands: repatriation or employment caring for POWs</w:t>
            </w:r>
          </w:p>
          <w:p w14:paraId="79FAADB8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Under control of the enemy: right to perform medical duties, etc.</w:t>
            </w:r>
          </w:p>
          <w:p w14:paraId="79FAADB9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Duties of medical personnel (including refraining from participating in hostilities, care without discrimination, etc.)</w:t>
            </w:r>
          </w:p>
          <w:p w14:paraId="79FAADBA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Protection of medical services and cases of loss of protection for medical services</w:t>
            </w:r>
          </w:p>
          <w:p w14:paraId="79FAADBB" w14:textId="32CF62E6" w:rsidR="0062232E" w:rsidRPr="00610D69" w:rsidRDefault="0062232E" w:rsidP="00921E03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</w:tr>
      <w:tr w:rsidR="00B870C5" w:rsidRPr="00D66976" w14:paraId="22D563F4" w14:textId="77777777" w:rsidTr="00866726">
        <w:tc>
          <w:tcPr>
            <w:tcW w:w="3686" w:type="dxa"/>
            <w:vMerge/>
          </w:tcPr>
          <w:p w14:paraId="3BE2E3F7" w14:textId="77777777" w:rsidR="00B870C5" w:rsidRPr="00A77555" w:rsidRDefault="00B870C5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00E900FD" w14:textId="7BF1E0DF" w:rsidR="007872C8" w:rsidRPr="007872C8" w:rsidRDefault="007872C8" w:rsidP="00120B2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872C8">
              <w:rPr>
                <w:rFonts w:cstheme="minorHAnsi"/>
                <w:b/>
                <w:sz w:val="24"/>
                <w:szCs w:val="24"/>
                <w:lang w:val="en-GB"/>
              </w:rPr>
              <w:t>RC/RC Emblem</w:t>
            </w:r>
          </w:p>
          <w:p w14:paraId="0A504690" w14:textId="7A0DDEDD" w:rsidR="00B870C5" w:rsidRPr="00B870C5" w:rsidRDefault="00B870C5" w:rsidP="007872C8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B870C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B870C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B870C5">
              <w:rPr>
                <w:rFonts w:cstheme="minorHAnsi"/>
                <w:sz w:val="24"/>
                <w:szCs w:val="24"/>
                <w:lang w:val="en-GB"/>
              </w:rPr>
              <w:t xml:space="preserve"> explain the protective and indicative use of the Red Cr</w:t>
            </w:r>
            <w:r w:rsidR="00644059">
              <w:rPr>
                <w:rFonts w:cstheme="minorHAnsi"/>
                <w:sz w:val="24"/>
                <w:szCs w:val="24"/>
                <w:lang w:val="en-GB"/>
              </w:rPr>
              <w:t xml:space="preserve">oss, Red Crescent and Red </w:t>
            </w:r>
            <w:r w:rsidR="00D66976">
              <w:rPr>
                <w:rFonts w:cstheme="minorHAnsi"/>
                <w:sz w:val="24"/>
                <w:szCs w:val="24"/>
                <w:lang w:val="en-GB"/>
              </w:rPr>
              <w:t>Crystal</w:t>
            </w:r>
            <w:r w:rsidRPr="00B870C5">
              <w:rPr>
                <w:rFonts w:cstheme="minorHAnsi"/>
                <w:sz w:val="24"/>
                <w:szCs w:val="24"/>
                <w:lang w:val="en-GB"/>
              </w:rPr>
              <w:t xml:space="preserve"> emblems</w:t>
            </w:r>
          </w:p>
        </w:tc>
        <w:tc>
          <w:tcPr>
            <w:tcW w:w="5953" w:type="dxa"/>
          </w:tcPr>
          <w:p w14:paraId="44AFAEE5" w14:textId="6B1CE313" w:rsidR="00B870C5" w:rsidRPr="00610D69" w:rsidRDefault="00B870C5" w:rsidP="00B870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610D69">
              <w:rPr>
                <w:rFonts w:cstheme="minorHAnsi"/>
                <w:sz w:val="24"/>
                <w:szCs w:val="24"/>
                <w:lang w:val="en-GB"/>
              </w:rPr>
              <w:t>Rules applicable to the Red Cross/Red Crescent/Red Crystal emblems</w:t>
            </w:r>
          </w:p>
        </w:tc>
      </w:tr>
      <w:tr w:rsidR="0062232E" w:rsidRPr="00D66976" w14:paraId="79FAADCC" w14:textId="77777777" w:rsidTr="00866726">
        <w:tc>
          <w:tcPr>
            <w:tcW w:w="3686" w:type="dxa"/>
            <w:vMerge/>
          </w:tcPr>
          <w:p w14:paraId="79FAADC7" w14:textId="77777777" w:rsidR="0062232E" w:rsidRPr="00A77555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14:paraId="79FAADC8" w14:textId="10FCECA5" w:rsidR="0062232E" w:rsidRPr="00A77555" w:rsidRDefault="00D66976" w:rsidP="00120B2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Global Health L</w:t>
            </w:r>
            <w:bookmarkStart w:id="0" w:name="_GoBack"/>
            <w:bookmarkEnd w:id="0"/>
            <w:r w:rsidR="0062232E" w:rsidRPr="00A77555">
              <w:rPr>
                <w:rFonts w:cstheme="minorHAnsi"/>
                <w:b/>
                <w:sz w:val="24"/>
                <w:szCs w:val="24"/>
                <w:lang w:val="en-GB"/>
              </w:rPr>
              <w:t>aw</w:t>
            </w:r>
          </w:p>
          <w:p w14:paraId="79FAADC9" w14:textId="77777777" w:rsidR="0062232E" w:rsidRPr="00A77555" w:rsidRDefault="0062232E" w:rsidP="00921E03">
            <w:pPr>
              <w:pStyle w:val="Normal1"/>
              <w:ind w:left="360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explain the purpose and scope of the International Health Regulations </w:t>
            </w:r>
            <w:r w:rsidRPr="00A7755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53" w:type="dxa"/>
          </w:tcPr>
          <w:p w14:paraId="79FAADCA" w14:textId="77777777" w:rsidR="0062232E" w:rsidRPr="00A77555" w:rsidRDefault="0062232E" w:rsidP="00921E0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77555">
              <w:rPr>
                <w:rFonts w:cstheme="minorHAnsi"/>
                <w:b/>
                <w:i/>
                <w:color w:val="0070C0"/>
                <w:sz w:val="24"/>
                <w:szCs w:val="24"/>
                <w:lang w:val="en-GB"/>
              </w:rPr>
              <w:t>Short introduction</w:t>
            </w:r>
            <w:r w:rsidRPr="00A77555">
              <w:rPr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r w:rsidRPr="00A77555">
              <w:rPr>
                <w:rFonts w:cstheme="minorHAnsi"/>
                <w:sz w:val="24"/>
                <w:szCs w:val="24"/>
                <w:lang w:val="en-GB"/>
              </w:rPr>
              <w:t xml:space="preserve">to the International Health Regulations (2005) – agreement between 196 countries including all WHO Member States to work together for global health security. </w:t>
            </w:r>
          </w:p>
          <w:p w14:paraId="79FAADCB" w14:textId="4CAC9D93" w:rsidR="0062232E" w:rsidRPr="007872C8" w:rsidRDefault="00012938" w:rsidP="007872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7872C8">
              <w:rPr>
                <w:rFonts w:cstheme="minorHAnsi"/>
                <w:sz w:val="24"/>
                <w:szCs w:val="24"/>
                <w:lang w:val="en-GB"/>
              </w:rPr>
              <w:t xml:space="preserve">Focus on the purpose and scope </w:t>
            </w:r>
          </w:p>
        </w:tc>
      </w:tr>
    </w:tbl>
    <w:p w14:paraId="79FAADDB" w14:textId="77777777" w:rsidR="00120B2E" w:rsidRPr="00183D3B" w:rsidRDefault="00120B2E">
      <w:pPr>
        <w:rPr>
          <w:rFonts w:cstheme="minorHAnsi"/>
          <w:sz w:val="24"/>
          <w:szCs w:val="24"/>
          <w:lang w:val="en-US"/>
        </w:rPr>
      </w:pPr>
    </w:p>
    <w:sectPr w:rsidR="00120B2E" w:rsidRPr="00183D3B" w:rsidSect="00120B2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5CEC" w14:textId="77777777" w:rsidR="00CC404C" w:rsidRDefault="00CC404C" w:rsidP="0062232E">
      <w:pPr>
        <w:spacing w:after="0" w:line="240" w:lineRule="auto"/>
      </w:pPr>
      <w:r>
        <w:separator/>
      </w:r>
    </w:p>
  </w:endnote>
  <w:endnote w:type="continuationSeparator" w:id="0">
    <w:p w14:paraId="5BDAA847" w14:textId="77777777" w:rsidR="00CC404C" w:rsidRDefault="00CC404C" w:rsidP="0062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0998" w14:textId="77777777" w:rsidR="00CC404C" w:rsidRDefault="00CC404C" w:rsidP="0062232E">
      <w:pPr>
        <w:spacing w:after="0" w:line="240" w:lineRule="auto"/>
      </w:pPr>
      <w:r>
        <w:separator/>
      </w:r>
    </w:p>
  </w:footnote>
  <w:footnote w:type="continuationSeparator" w:id="0">
    <w:p w14:paraId="2FE62F46" w14:textId="77777777" w:rsidR="00CC404C" w:rsidRDefault="00CC404C" w:rsidP="0062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ADE0" w14:textId="191CCDF1" w:rsidR="0062232E" w:rsidRPr="0062232E" w:rsidRDefault="00A75569">
    <w:pPr>
      <w:pStyle w:val="Header"/>
      <w:rPr>
        <w:lang w:val="en-US"/>
      </w:rPr>
    </w:pPr>
    <w:r w:rsidRPr="00A75569">
      <w:rPr>
        <w:lang w:val="en-US"/>
      </w:rPr>
      <w:t xml:space="preserve">Version 16. 12.2019 </w:t>
    </w:r>
    <w:r>
      <w:rPr>
        <w:lang w:val="en-US"/>
      </w:rPr>
      <w:t>-</w:t>
    </w:r>
    <w:r w:rsidRPr="007872C8">
      <w:rPr>
        <w:highlight w:val="yellow"/>
        <w:lang w:val="en-US"/>
      </w:rPr>
      <w:t>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8D"/>
    <w:multiLevelType w:val="multilevel"/>
    <w:tmpl w:val="0DC83026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  <w:b w:val="0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021B5"/>
    <w:multiLevelType w:val="hybridMultilevel"/>
    <w:tmpl w:val="8412087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70B1"/>
    <w:multiLevelType w:val="hybridMultilevel"/>
    <w:tmpl w:val="0A54A7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E2F"/>
    <w:multiLevelType w:val="hybridMultilevel"/>
    <w:tmpl w:val="675471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E07"/>
    <w:multiLevelType w:val="hybridMultilevel"/>
    <w:tmpl w:val="6756E4B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A1D"/>
    <w:multiLevelType w:val="hybridMultilevel"/>
    <w:tmpl w:val="E6EEC86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5534"/>
    <w:multiLevelType w:val="hybridMultilevel"/>
    <w:tmpl w:val="E230E24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E62"/>
    <w:multiLevelType w:val="multilevel"/>
    <w:tmpl w:val="FC68D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C38420B"/>
    <w:multiLevelType w:val="hybridMultilevel"/>
    <w:tmpl w:val="B59CC9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4E0B"/>
    <w:multiLevelType w:val="hybridMultilevel"/>
    <w:tmpl w:val="66567AF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A4C"/>
    <w:multiLevelType w:val="multilevel"/>
    <w:tmpl w:val="31423CB6"/>
    <w:lvl w:ilvl="0">
      <w:start w:val="2"/>
      <w:numFmt w:val="none"/>
      <w:lvlText w:val="3.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53A17"/>
    <w:multiLevelType w:val="hybridMultilevel"/>
    <w:tmpl w:val="9CAAA5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3A06"/>
    <w:multiLevelType w:val="hybridMultilevel"/>
    <w:tmpl w:val="7916AAD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4351"/>
    <w:multiLevelType w:val="hybridMultilevel"/>
    <w:tmpl w:val="688C53DA"/>
    <w:lvl w:ilvl="0" w:tplc="FA540C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700D3"/>
    <w:multiLevelType w:val="hybridMultilevel"/>
    <w:tmpl w:val="618482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D62"/>
    <w:multiLevelType w:val="hybridMultilevel"/>
    <w:tmpl w:val="E11EF73A"/>
    <w:lvl w:ilvl="0" w:tplc="B49C5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6194D"/>
    <w:multiLevelType w:val="hybridMultilevel"/>
    <w:tmpl w:val="A810F51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966"/>
    <w:multiLevelType w:val="hybridMultilevel"/>
    <w:tmpl w:val="5A18DF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73B64"/>
    <w:multiLevelType w:val="hybridMultilevel"/>
    <w:tmpl w:val="6630A8D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439BA"/>
    <w:multiLevelType w:val="multilevel"/>
    <w:tmpl w:val="19229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32EA7CD2"/>
    <w:multiLevelType w:val="hybridMultilevel"/>
    <w:tmpl w:val="D7E2AC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62110"/>
    <w:multiLevelType w:val="multilevel"/>
    <w:tmpl w:val="2A30C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22" w15:restartNumberingAfterBreak="0">
    <w:nsid w:val="387E024A"/>
    <w:multiLevelType w:val="hybridMultilevel"/>
    <w:tmpl w:val="CD1A0F3E"/>
    <w:lvl w:ilvl="0" w:tplc="FA540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66D3"/>
    <w:multiLevelType w:val="hybridMultilevel"/>
    <w:tmpl w:val="F878A5D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903A2"/>
    <w:multiLevelType w:val="hybridMultilevel"/>
    <w:tmpl w:val="1FFEA3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A4B0A"/>
    <w:multiLevelType w:val="hybridMultilevel"/>
    <w:tmpl w:val="26641E74"/>
    <w:lvl w:ilvl="0" w:tplc="100C0001">
      <w:start w:val="1"/>
      <w:numFmt w:val="bullet"/>
      <w:lvlText w:val=""/>
      <w:lvlJc w:val="left"/>
      <w:pPr>
        <w:ind w:left="624" w:hanging="511"/>
      </w:pPr>
      <w:rPr>
        <w:rFonts w:ascii="Symbol" w:hAnsi="Symbol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C2A44"/>
    <w:multiLevelType w:val="hybridMultilevel"/>
    <w:tmpl w:val="3CCA7BB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122E"/>
    <w:multiLevelType w:val="hybridMultilevel"/>
    <w:tmpl w:val="387A03A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6BE1"/>
    <w:multiLevelType w:val="multilevel"/>
    <w:tmpl w:val="B5842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603B7AB3"/>
    <w:multiLevelType w:val="hybridMultilevel"/>
    <w:tmpl w:val="6ED07ECA"/>
    <w:lvl w:ilvl="0" w:tplc="DBC2379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47231"/>
    <w:multiLevelType w:val="hybridMultilevel"/>
    <w:tmpl w:val="2A4AD6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C0F7A"/>
    <w:multiLevelType w:val="hybridMultilevel"/>
    <w:tmpl w:val="B80E8B5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72BB1"/>
    <w:multiLevelType w:val="multilevel"/>
    <w:tmpl w:val="637C0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D335A57"/>
    <w:multiLevelType w:val="multilevel"/>
    <w:tmpl w:val="BA3E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32"/>
  </w:num>
  <w:num w:numId="5">
    <w:abstractNumId w:val="28"/>
  </w:num>
  <w:num w:numId="6">
    <w:abstractNumId w:val="7"/>
  </w:num>
  <w:num w:numId="7">
    <w:abstractNumId w:val="19"/>
  </w:num>
  <w:num w:numId="8">
    <w:abstractNumId w:val="29"/>
  </w:num>
  <w:num w:numId="9">
    <w:abstractNumId w:val="12"/>
  </w:num>
  <w:num w:numId="10">
    <w:abstractNumId w:val="30"/>
  </w:num>
  <w:num w:numId="11">
    <w:abstractNumId w:val="26"/>
  </w:num>
  <w:num w:numId="12">
    <w:abstractNumId w:val="4"/>
  </w:num>
  <w:num w:numId="13">
    <w:abstractNumId w:val="22"/>
  </w:num>
  <w:num w:numId="14">
    <w:abstractNumId w:val="31"/>
  </w:num>
  <w:num w:numId="15">
    <w:abstractNumId w:val="16"/>
  </w:num>
  <w:num w:numId="16">
    <w:abstractNumId w:val="25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20"/>
  </w:num>
  <w:num w:numId="25">
    <w:abstractNumId w:val="11"/>
  </w:num>
  <w:num w:numId="26">
    <w:abstractNumId w:val="9"/>
  </w:num>
  <w:num w:numId="27">
    <w:abstractNumId w:val="6"/>
  </w:num>
  <w:num w:numId="28">
    <w:abstractNumId w:val="2"/>
  </w:num>
  <w:num w:numId="29">
    <w:abstractNumId w:val="27"/>
  </w:num>
  <w:num w:numId="30">
    <w:abstractNumId w:val="18"/>
  </w:num>
  <w:num w:numId="31">
    <w:abstractNumId w:val="5"/>
  </w:num>
  <w:num w:numId="32">
    <w:abstractNumId w:val="33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2E"/>
    <w:rsid w:val="00012938"/>
    <w:rsid w:val="000164AA"/>
    <w:rsid w:val="00031DF6"/>
    <w:rsid w:val="00120B2E"/>
    <w:rsid w:val="00183D3B"/>
    <w:rsid w:val="005870EC"/>
    <w:rsid w:val="00610D69"/>
    <w:rsid w:val="0062232E"/>
    <w:rsid w:val="00644059"/>
    <w:rsid w:val="007872C8"/>
    <w:rsid w:val="007B6F7D"/>
    <w:rsid w:val="00866726"/>
    <w:rsid w:val="00870CA3"/>
    <w:rsid w:val="008868B0"/>
    <w:rsid w:val="008B79BA"/>
    <w:rsid w:val="008C7BA9"/>
    <w:rsid w:val="008F0F3B"/>
    <w:rsid w:val="00964F76"/>
    <w:rsid w:val="00A75569"/>
    <w:rsid w:val="00A77555"/>
    <w:rsid w:val="00B870C5"/>
    <w:rsid w:val="00BB45AC"/>
    <w:rsid w:val="00C25A48"/>
    <w:rsid w:val="00C375D1"/>
    <w:rsid w:val="00C8479A"/>
    <w:rsid w:val="00CC404C"/>
    <w:rsid w:val="00D02119"/>
    <w:rsid w:val="00D66976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AD5D"/>
  <w15:chartTrackingRefBased/>
  <w15:docId w15:val="{B4267702-37FC-4C78-95BD-96FAF1DF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2E"/>
    <w:pPr>
      <w:ind w:left="720"/>
      <w:contextualSpacing/>
    </w:pPr>
  </w:style>
  <w:style w:type="paragraph" w:customStyle="1" w:styleId="Normal1">
    <w:name w:val="Normal1"/>
    <w:rsid w:val="00120B2E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12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2E"/>
  </w:style>
  <w:style w:type="paragraph" w:styleId="Footer">
    <w:name w:val="footer"/>
    <w:basedOn w:val="Normal"/>
    <w:link w:val="FooterChar"/>
    <w:uiPriority w:val="99"/>
    <w:unhideWhenUsed/>
    <w:rsid w:val="006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2E"/>
  </w:style>
  <w:style w:type="paragraph" w:styleId="BalloonText">
    <w:name w:val="Balloon Text"/>
    <w:basedOn w:val="Normal"/>
    <w:link w:val="BalloonTextChar"/>
    <w:uiPriority w:val="99"/>
    <w:semiHidden/>
    <w:unhideWhenUsed/>
    <w:rsid w:val="00C3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2019-05-02T22:00:00+00:00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TSASSIST-19-2137</_dlc_DocId>
    <_dlc_DocIdUrl xmlns="a8a2af44-4b8d-404b-a8bd-4186350a523c">
      <Url>https://collab.ext.icrc.org/sites/TS_ASSIST/_layouts/15/DocIdRedir.aspx?ID=TSASSIST-19-2137</Url>
      <Description>TSASSIST-19-2137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9ECD8931-AE12-48B0-81D4-A641AE0751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AA77D-332E-4E5D-8416-21F9FF01D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73A01-547E-4C57-BAC2-3E1E7638D37D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A0BE8B-3B3A-43C0-8F52-E2960260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DFE66A-E583-445B-8296-37A6B4F03B8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5</cp:revision>
  <cp:lastPrinted>2019-12-16T14:08:00Z</cp:lastPrinted>
  <dcterms:created xsi:type="dcterms:W3CDTF">2019-12-16T14:44:00Z</dcterms:created>
  <dcterms:modified xsi:type="dcterms:W3CDTF">2020-08-11T13:53:00Z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340ccc09-96c5-478f-85d0-849b5f7f2c8d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</Properties>
</file>