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412F" w14:textId="006F650A" w:rsidR="00A77555" w:rsidRPr="00B73279" w:rsidRDefault="00A77555" w:rsidP="00A77555">
      <w:pPr>
        <w:tabs>
          <w:tab w:val="left" w:pos="660"/>
          <w:tab w:val="center" w:pos="7002"/>
        </w:tabs>
        <w:rPr>
          <w:b/>
          <w:sz w:val="32"/>
          <w:u w:val="single"/>
          <w:lang w:val="en-US"/>
        </w:rPr>
      </w:pPr>
      <w:r>
        <w:rPr>
          <w:b/>
          <w:sz w:val="32"/>
        </w:rPr>
        <w:tab/>
      </w:r>
      <w:r>
        <w:rPr>
          <w:b/>
          <w:sz w:val="32"/>
        </w:rPr>
        <w:tab/>
      </w:r>
      <w:proofErr w:type="spellStart"/>
      <w:r w:rsidRPr="00B73279">
        <w:rPr>
          <w:b/>
          <w:sz w:val="32"/>
          <w:u w:val="single"/>
          <w:lang w:val="en-US"/>
        </w:rPr>
        <w:t>Cours</w:t>
      </w:r>
      <w:proofErr w:type="spellEnd"/>
      <w:r w:rsidRPr="00B73279">
        <w:rPr>
          <w:b/>
          <w:sz w:val="32"/>
          <w:u w:val="single"/>
          <w:lang w:val="en-US"/>
        </w:rPr>
        <w:t xml:space="preserve"> Health Emergencies in Large Populations (H.E.L.P.)</w:t>
      </w:r>
    </w:p>
    <w:p w14:paraId="285349B3" w14:textId="2F0D980B" w:rsidR="00A77555" w:rsidRPr="00A77555" w:rsidRDefault="00D66976" w:rsidP="00A77555">
      <w:pPr>
        <w:jc w:val="center"/>
        <w:rPr>
          <w:b/>
          <w:sz w:val="32"/>
        </w:rPr>
      </w:pPr>
      <w:r>
        <w:rPr>
          <w:b/>
          <w:sz w:val="32"/>
        </w:rPr>
        <w:t>Cadre juridique</w:t>
      </w:r>
    </w:p>
    <w:p w14:paraId="79FAAD5E" w14:textId="102AC165" w:rsidR="00120B2E" w:rsidRPr="00A77555" w:rsidRDefault="00D66976" w:rsidP="00A77555">
      <w:pPr>
        <w:jc w:val="center"/>
        <w:rPr>
          <w:b/>
          <w:color w:val="FF0000"/>
          <w:sz w:val="32"/>
        </w:rPr>
      </w:pPr>
      <w:r>
        <w:rPr>
          <w:b/>
          <w:color w:val="FF0000"/>
          <w:sz w:val="32"/>
        </w:rPr>
        <w:t>Durée : 90 minutes</w:t>
      </w:r>
    </w:p>
    <w:tbl>
      <w:tblPr>
        <w:tblStyle w:val="TableGrid"/>
        <w:tblW w:w="14034" w:type="dxa"/>
        <w:tblInd w:w="-289" w:type="dxa"/>
        <w:tblLayout w:type="fixed"/>
        <w:tblLook w:val="04A0" w:firstRow="1" w:lastRow="0" w:firstColumn="1" w:lastColumn="0" w:noHBand="0" w:noVBand="1"/>
      </w:tblPr>
      <w:tblGrid>
        <w:gridCol w:w="3686"/>
        <w:gridCol w:w="4395"/>
        <w:gridCol w:w="5953"/>
      </w:tblGrid>
      <w:tr w:rsidR="00120B2E" w:rsidRPr="00A77555" w14:paraId="79FAAD63" w14:textId="77777777" w:rsidTr="00866726">
        <w:trPr>
          <w:trHeight w:val="889"/>
        </w:trPr>
        <w:tc>
          <w:tcPr>
            <w:tcW w:w="3686" w:type="dxa"/>
            <w:shd w:val="clear" w:color="auto" w:fill="DEEAF6" w:themeFill="accent1" w:themeFillTint="33"/>
          </w:tcPr>
          <w:p w14:paraId="79FAAD60" w14:textId="33507353" w:rsidR="00120B2E" w:rsidRPr="00A77555" w:rsidRDefault="00120B2E" w:rsidP="00921E03">
            <w:pPr>
              <w:pStyle w:val="Normal1"/>
              <w:rPr>
                <w:rFonts w:asciiTheme="minorHAnsi" w:hAnsiTheme="minorHAnsi" w:cstheme="minorHAnsi"/>
                <w:b/>
                <w:color w:val="auto"/>
                <w:sz w:val="24"/>
                <w:szCs w:val="24"/>
              </w:rPr>
            </w:pPr>
            <w:r>
              <w:rPr>
                <w:rFonts w:asciiTheme="minorHAnsi" w:hAnsiTheme="minorHAnsi"/>
                <w:b/>
                <w:color w:val="auto"/>
                <w:sz w:val="24"/>
              </w:rPr>
              <w:t>Objectifs pédagogiques : ce que les participants doivent être en mesure de faire à l’issue de la formation</w:t>
            </w:r>
          </w:p>
        </w:tc>
        <w:tc>
          <w:tcPr>
            <w:tcW w:w="4395" w:type="dxa"/>
            <w:shd w:val="clear" w:color="auto" w:fill="DEEAF6" w:themeFill="accent1" w:themeFillTint="33"/>
          </w:tcPr>
          <w:p w14:paraId="79FAAD61" w14:textId="77777777" w:rsidR="00120B2E" w:rsidRPr="00A77555" w:rsidRDefault="00120B2E" w:rsidP="00921E03">
            <w:pPr>
              <w:pStyle w:val="Normal1"/>
              <w:rPr>
                <w:rFonts w:asciiTheme="minorHAnsi" w:hAnsiTheme="minorHAnsi" w:cstheme="minorHAnsi"/>
                <w:b/>
                <w:color w:val="auto"/>
                <w:sz w:val="24"/>
                <w:szCs w:val="24"/>
              </w:rPr>
            </w:pPr>
            <w:r>
              <w:rPr>
                <w:rFonts w:asciiTheme="minorHAnsi" w:hAnsiTheme="minorHAnsi"/>
                <w:b/>
                <w:color w:val="auto"/>
                <w:sz w:val="24"/>
              </w:rPr>
              <w:t xml:space="preserve">Objectifs de mise en œuvre : étapes intermédiaires et complémentaires permettant d’atteindre les objectifs pédagogiques </w:t>
            </w:r>
          </w:p>
        </w:tc>
        <w:tc>
          <w:tcPr>
            <w:tcW w:w="5953" w:type="dxa"/>
            <w:shd w:val="clear" w:color="auto" w:fill="DEEAF6" w:themeFill="accent1" w:themeFillTint="33"/>
          </w:tcPr>
          <w:p w14:paraId="79FAAD62" w14:textId="77777777" w:rsidR="00120B2E" w:rsidRPr="00A77555" w:rsidRDefault="00120B2E" w:rsidP="00921E03">
            <w:pPr>
              <w:pStyle w:val="Normal1"/>
              <w:rPr>
                <w:rFonts w:asciiTheme="minorHAnsi" w:hAnsiTheme="minorHAnsi" w:cstheme="minorHAnsi"/>
                <w:b/>
                <w:color w:val="auto"/>
                <w:sz w:val="24"/>
                <w:szCs w:val="24"/>
              </w:rPr>
            </w:pPr>
            <w:r>
              <w:rPr>
                <w:rFonts w:asciiTheme="minorHAnsi" w:hAnsiTheme="minorHAnsi"/>
                <w:b/>
                <w:color w:val="auto"/>
                <w:sz w:val="24"/>
              </w:rPr>
              <w:t>Points essentiels / sujets de référence</w:t>
            </w:r>
          </w:p>
        </w:tc>
      </w:tr>
      <w:tr w:rsidR="00C25A48" w:rsidRPr="00D66976" w14:paraId="79FAAD79" w14:textId="77777777" w:rsidTr="00866726">
        <w:tc>
          <w:tcPr>
            <w:tcW w:w="3686" w:type="dxa"/>
            <w:vMerge w:val="restart"/>
          </w:tcPr>
          <w:p w14:paraId="79FAAD6D" w14:textId="2BC4F2F3" w:rsidR="00C25A48" w:rsidRPr="00D66976" w:rsidRDefault="00C25A48" w:rsidP="00D66976">
            <w:pPr>
              <w:pStyle w:val="Normal1"/>
              <w:numPr>
                <w:ilvl w:val="0"/>
                <w:numId w:val="7"/>
              </w:numPr>
              <w:rPr>
                <w:rFonts w:asciiTheme="minorHAnsi" w:hAnsiTheme="minorHAnsi" w:cstheme="minorHAnsi"/>
                <w:sz w:val="24"/>
                <w:szCs w:val="24"/>
              </w:rPr>
            </w:pPr>
            <w:r>
              <w:rPr>
                <w:rFonts w:asciiTheme="minorHAnsi" w:hAnsiTheme="minorHAnsi"/>
                <w:i/>
                <w:iCs/>
                <w:color w:val="auto"/>
                <w:sz w:val="24"/>
              </w:rPr>
              <w:t>Être capable</w:t>
            </w:r>
            <w:r>
              <w:rPr>
                <w:rFonts w:asciiTheme="minorHAnsi" w:hAnsiTheme="minorHAnsi"/>
                <w:color w:val="auto"/>
                <w:sz w:val="24"/>
              </w:rPr>
              <w:t xml:space="preserve"> d’expliquer quels instruments juridiques sont particulièrement pertinents en situation de conflit armé et d’autres crises humanitaires, et quand et comment ils s’appliquent</w:t>
            </w:r>
          </w:p>
        </w:tc>
        <w:tc>
          <w:tcPr>
            <w:tcW w:w="4395" w:type="dxa"/>
          </w:tcPr>
          <w:p w14:paraId="79FAAD6E" w14:textId="5A8B80BD" w:rsidR="00C25A48" w:rsidRPr="00964F76" w:rsidRDefault="00D66976" w:rsidP="00964F76">
            <w:pPr>
              <w:pStyle w:val="ListParagraph"/>
              <w:numPr>
                <w:ilvl w:val="1"/>
                <w:numId w:val="32"/>
              </w:numPr>
              <w:ind w:left="460" w:hanging="460"/>
              <w:rPr>
                <w:rFonts w:cstheme="minorHAnsi"/>
                <w:color w:val="0070C0"/>
                <w:sz w:val="24"/>
                <w:szCs w:val="24"/>
              </w:rPr>
            </w:pPr>
            <w:r>
              <w:rPr>
                <w:b/>
                <w:sz w:val="24"/>
              </w:rPr>
              <w:t>Droit international humanitaire (DIH)</w:t>
            </w:r>
          </w:p>
          <w:p w14:paraId="79FAAD6F" w14:textId="77777777" w:rsidR="00C25A48" w:rsidRPr="00A77555" w:rsidRDefault="00C25A48" w:rsidP="00921E03">
            <w:pPr>
              <w:pStyle w:val="ListParagraph"/>
              <w:spacing w:line="276" w:lineRule="auto"/>
              <w:ind w:left="360"/>
              <w:rPr>
                <w:rFonts w:cstheme="minorHAnsi"/>
                <w:sz w:val="24"/>
                <w:szCs w:val="24"/>
              </w:rPr>
            </w:pPr>
            <w:r>
              <w:rPr>
                <w:i/>
                <w:iCs/>
                <w:sz w:val="24"/>
              </w:rPr>
              <w:t>Être capable</w:t>
            </w:r>
            <w:r>
              <w:rPr>
                <w:sz w:val="24"/>
              </w:rPr>
              <w:t xml:space="preserve"> de faire la distinction entre différentes situations de violence et d’identifier les instruments du DIH applicables à chacune d’elles  </w:t>
            </w:r>
          </w:p>
        </w:tc>
        <w:tc>
          <w:tcPr>
            <w:tcW w:w="5953" w:type="dxa"/>
          </w:tcPr>
          <w:p w14:paraId="79FAAD70" w14:textId="77777777" w:rsidR="00C25A48" w:rsidRPr="00A77555" w:rsidRDefault="00C25A48" w:rsidP="00921E03">
            <w:pPr>
              <w:rPr>
                <w:rFonts w:cstheme="minorHAnsi"/>
                <w:b/>
                <w:i/>
                <w:color w:val="000000" w:themeColor="text1"/>
                <w:sz w:val="24"/>
                <w:szCs w:val="24"/>
              </w:rPr>
            </w:pPr>
            <w:r>
              <w:rPr>
                <w:b/>
                <w:i/>
                <w:color w:val="2E74B5" w:themeColor="accent1" w:themeShade="BF"/>
                <w:sz w:val="24"/>
              </w:rPr>
              <w:t>Session principalement consacrée aux instruments juridiques</w:t>
            </w:r>
          </w:p>
          <w:p w14:paraId="79FAAD71" w14:textId="77777777" w:rsidR="00C25A48" w:rsidRPr="00A77555" w:rsidRDefault="00C25A48" w:rsidP="00012938">
            <w:pPr>
              <w:pStyle w:val="ListParagraph"/>
              <w:numPr>
                <w:ilvl w:val="0"/>
                <w:numId w:val="24"/>
              </w:numPr>
              <w:ind w:left="360"/>
              <w:rPr>
                <w:rFonts w:cstheme="minorHAnsi"/>
                <w:color w:val="000000" w:themeColor="text1"/>
                <w:sz w:val="24"/>
                <w:szCs w:val="24"/>
              </w:rPr>
            </w:pPr>
            <w:r>
              <w:rPr>
                <w:color w:val="000000" w:themeColor="text1"/>
                <w:sz w:val="24"/>
              </w:rPr>
              <w:t>Conflits armés internationaux (CAI) ; conflits armés non internationaux (CANI) ; autres situations de violence (ASV)</w:t>
            </w:r>
          </w:p>
          <w:p w14:paraId="79FAAD72" w14:textId="77777777" w:rsidR="00C25A48" w:rsidRPr="00A77555" w:rsidRDefault="00C25A48" w:rsidP="00012938">
            <w:pPr>
              <w:pStyle w:val="ListParagraph"/>
              <w:numPr>
                <w:ilvl w:val="0"/>
                <w:numId w:val="24"/>
              </w:numPr>
              <w:ind w:left="360"/>
              <w:rPr>
                <w:rFonts w:cstheme="minorHAnsi"/>
                <w:color w:val="000000" w:themeColor="text1"/>
                <w:sz w:val="24"/>
                <w:szCs w:val="24"/>
              </w:rPr>
            </w:pPr>
            <w:r>
              <w:rPr>
                <w:color w:val="000000" w:themeColor="text1"/>
                <w:sz w:val="24"/>
              </w:rPr>
              <w:t>Principaux instruments :</w:t>
            </w:r>
          </w:p>
          <w:p w14:paraId="79FAAD73" w14:textId="77777777" w:rsidR="00C25A48" w:rsidRPr="00A77555" w:rsidRDefault="00C25A48" w:rsidP="008868B0">
            <w:pPr>
              <w:pStyle w:val="ListParagraph"/>
              <w:numPr>
                <w:ilvl w:val="1"/>
                <w:numId w:val="33"/>
              </w:numPr>
              <w:ind w:left="757"/>
              <w:rPr>
                <w:rFonts w:cstheme="minorHAnsi"/>
                <w:color w:val="000000" w:themeColor="text1"/>
                <w:sz w:val="24"/>
                <w:szCs w:val="24"/>
              </w:rPr>
            </w:pPr>
            <w:r>
              <w:rPr>
                <w:color w:val="000000" w:themeColor="text1"/>
                <w:sz w:val="24"/>
              </w:rPr>
              <w:t>Conventions de Genève de 1949</w:t>
            </w:r>
          </w:p>
          <w:p w14:paraId="79FAAD74" w14:textId="77777777" w:rsidR="00C25A48" w:rsidRPr="00A77555" w:rsidRDefault="00C25A48" w:rsidP="008868B0">
            <w:pPr>
              <w:pStyle w:val="ListParagraph"/>
              <w:numPr>
                <w:ilvl w:val="1"/>
                <w:numId w:val="33"/>
              </w:numPr>
              <w:ind w:left="757"/>
              <w:rPr>
                <w:rFonts w:cstheme="minorHAnsi"/>
                <w:color w:val="000000" w:themeColor="text1"/>
                <w:sz w:val="24"/>
                <w:szCs w:val="24"/>
              </w:rPr>
            </w:pPr>
            <w:r>
              <w:rPr>
                <w:color w:val="000000" w:themeColor="text1"/>
                <w:sz w:val="24"/>
              </w:rPr>
              <w:t>Protocoles additionnels de 1977 (CAI et CANI)</w:t>
            </w:r>
          </w:p>
          <w:p w14:paraId="79FAAD75" w14:textId="77777777" w:rsidR="00C25A48" w:rsidRPr="00A77555" w:rsidRDefault="00C25A48" w:rsidP="008868B0">
            <w:pPr>
              <w:pStyle w:val="ListParagraph"/>
              <w:numPr>
                <w:ilvl w:val="1"/>
                <w:numId w:val="33"/>
              </w:numPr>
              <w:ind w:left="757"/>
              <w:rPr>
                <w:rFonts w:cstheme="minorHAnsi"/>
                <w:color w:val="000000" w:themeColor="text1"/>
                <w:sz w:val="24"/>
                <w:szCs w:val="24"/>
              </w:rPr>
            </w:pPr>
            <w:r>
              <w:rPr>
                <w:color w:val="000000" w:themeColor="text1"/>
                <w:sz w:val="24"/>
              </w:rPr>
              <w:t>Identifier les principales parties applicables aux CAI et aux CANI</w:t>
            </w:r>
          </w:p>
          <w:p w14:paraId="79FAAD76" w14:textId="77777777" w:rsidR="00C25A48" w:rsidRPr="00A77555" w:rsidRDefault="00C25A48" w:rsidP="008868B0">
            <w:pPr>
              <w:pStyle w:val="ListParagraph"/>
              <w:numPr>
                <w:ilvl w:val="1"/>
                <w:numId w:val="33"/>
              </w:numPr>
              <w:ind w:left="757"/>
              <w:rPr>
                <w:rFonts w:cstheme="minorHAnsi"/>
                <w:color w:val="000000" w:themeColor="text1"/>
                <w:sz w:val="24"/>
                <w:szCs w:val="24"/>
              </w:rPr>
            </w:pPr>
            <w:r>
              <w:rPr>
                <w:color w:val="000000" w:themeColor="text1"/>
                <w:sz w:val="24"/>
              </w:rPr>
              <w:t>Art. 2 commun aux Conventions de Genève (définition du CAI)</w:t>
            </w:r>
          </w:p>
          <w:p w14:paraId="79FAAD78" w14:textId="145B477A" w:rsidR="00C25A48" w:rsidRPr="008868B0" w:rsidRDefault="00C25A48" w:rsidP="008868B0">
            <w:pPr>
              <w:pStyle w:val="ListParagraph"/>
              <w:numPr>
                <w:ilvl w:val="1"/>
                <w:numId w:val="33"/>
              </w:numPr>
              <w:ind w:left="757"/>
              <w:rPr>
                <w:rFonts w:cstheme="minorHAnsi"/>
                <w:color w:val="000000" w:themeColor="text1"/>
                <w:sz w:val="24"/>
                <w:szCs w:val="24"/>
              </w:rPr>
            </w:pPr>
            <w:r>
              <w:rPr>
                <w:color w:val="000000" w:themeColor="text1"/>
                <w:sz w:val="24"/>
              </w:rPr>
              <w:t>Art. 3 commun aux Conventions de Genève (définition du CANI)</w:t>
            </w:r>
          </w:p>
        </w:tc>
      </w:tr>
      <w:tr w:rsidR="00C25A48" w:rsidRPr="00D66976" w14:paraId="79FAAD80" w14:textId="77777777" w:rsidTr="00866726">
        <w:tc>
          <w:tcPr>
            <w:tcW w:w="3686" w:type="dxa"/>
            <w:vMerge/>
          </w:tcPr>
          <w:p w14:paraId="79FAAD7A" w14:textId="77777777" w:rsidR="00C25A48" w:rsidRPr="00B73279" w:rsidRDefault="00C25A48" w:rsidP="00921E03">
            <w:pPr>
              <w:pStyle w:val="Normal1"/>
              <w:rPr>
                <w:rFonts w:asciiTheme="minorHAnsi" w:hAnsiTheme="minorHAnsi" w:cstheme="minorHAnsi"/>
                <w:sz w:val="24"/>
                <w:szCs w:val="24"/>
                <w:lang w:val="fr-CH"/>
              </w:rPr>
            </w:pPr>
          </w:p>
        </w:tc>
        <w:tc>
          <w:tcPr>
            <w:tcW w:w="4395" w:type="dxa"/>
          </w:tcPr>
          <w:p w14:paraId="79FAAD7B" w14:textId="2954E160" w:rsidR="00C25A48" w:rsidRPr="008C7BA9" w:rsidRDefault="00D66976" w:rsidP="00B870C5">
            <w:pPr>
              <w:pStyle w:val="ListParagraph"/>
              <w:numPr>
                <w:ilvl w:val="1"/>
                <w:numId w:val="32"/>
              </w:numPr>
              <w:ind w:left="460" w:hanging="460"/>
              <w:rPr>
                <w:rFonts w:cstheme="minorHAnsi"/>
                <w:b/>
                <w:sz w:val="24"/>
                <w:szCs w:val="24"/>
              </w:rPr>
            </w:pPr>
            <w:r>
              <w:rPr>
                <w:b/>
                <w:sz w:val="24"/>
              </w:rPr>
              <w:t>Droit international relatif aux droits de l’homme (DIDH)</w:t>
            </w:r>
          </w:p>
          <w:p w14:paraId="79FAAD7C" w14:textId="476EDCB9" w:rsidR="00C25A48" w:rsidRPr="00A77555" w:rsidRDefault="00C25A48" w:rsidP="00921E03">
            <w:pPr>
              <w:pStyle w:val="ListParagraph"/>
              <w:spacing w:line="276" w:lineRule="auto"/>
              <w:ind w:left="360"/>
              <w:rPr>
                <w:rFonts w:cstheme="minorHAnsi"/>
                <w:sz w:val="24"/>
                <w:szCs w:val="24"/>
              </w:rPr>
            </w:pPr>
            <w:r>
              <w:rPr>
                <w:i/>
                <w:iCs/>
                <w:sz w:val="24"/>
              </w:rPr>
              <w:t>Être capable</w:t>
            </w:r>
            <w:r>
              <w:rPr>
                <w:sz w:val="24"/>
              </w:rPr>
              <w:t xml:space="preserve"> d’expliquer la notion de droits humains, de dire qui a l’obligation de les respecter et les </w:t>
            </w:r>
            <w:r>
              <w:rPr>
                <w:sz w:val="24"/>
              </w:rPr>
              <w:lastRenderedPageBreak/>
              <w:t xml:space="preserve">protéger, et d’en énoncer les bénéficiaires ciblés </w:t>
            </w:r>
          </w:p>
        </w:tc>
        <w:tc>
          <w:tcPr>
            <w:tcW w:w="5953" w:type="dxa"/>
          </w:tcPr>
          <w:p w14:paraId="79FAAD7D" w14:textId="77777777" w:rsidR="00C25A48" w:rsidRPr="00A77555" w:rsidRDefault="00C25A48" w:rsidP="00921E03">
            <w:pPr>
              <w:rPr>
                <w:rFonts w:cstheme="minorHAnsi"/>
                <w:b/>
                <w:i/>
                <w:color w:val="0070C0"/>
                <w:sz w:val="24"/>
                <w:szCs w:val="24"/>
              </w:rPr>
            </w:pPr>
            <w:r>
              <w:rPr>
                <w:b/>
                <w:i/>
                <w:color w:val="0070C0"/>
                <w:sz w:val="24"/>
              </w:rPr>
              <w:lastRenderedPageBreak/>
              <w:t xml:space="preserve">Session principalement consacrée aux instruments juridiques </w:t>
            </w:r>
          </w:p>
          <w:p w14:paraId="79FAAD7E" w14:textId="77777777" w:rsidR="00C25A48" w:rsidRPr="00A77555" w:rsidRDefault="00C25A48" w:rsidP="00012938">
            <w:pPr>
              <w:pStyle w:val="ListParagraph"/>
              <w:numPr>
                <w:ilvl w:val="0"/>
                <w:numId w:val="25"/>
              </w:numPr>
              <w:ind w:left="360"/>
              <w:rPr>
                <w:rFonts w:cstheme="minorHAnsi"/>
                <w:sz w:val="24"/>
                <w:szCs w:val="24"/>
              </w:rPr>
            </w:pPr>
            <w:r>
              <w:rPr>
                <w:sz w:val="24"/>
              </w:rPr>
              <w:t>Les droits humains en tant que droits dont les individus ou les groupes peuvent s’attendre à jouir et/ou qu’il est possible de faire valoir</w:t>
            </w:r>
          </w:p>
          <w:p w14:paraId="3DC407BE" w14:textId="77777777" w:rsidR="00C25A48" w:rsidRDefault="00C25A48" w:rsidP="00012938">
            <w:pPr>
              <w:pStyle w:val="ListParagraph"/>
              <w:numPr>
                <w:ilvl w:val="0"/>
                <w:numId w:val="25"/>
              </w:numPr>
              <w:ind w:left="360"/>
              <w:rPr>
                <w:rFonts w:cstheme="minorHAnsi"/>
                <w:sz w:val="24"/>
                <w:szCs w:val="24"/>
              </w:rPr>
            </w:pPr>
            <w:r>
              <w:rPr>
                <w:sz w:val="24"/>
              </w:rPr>
              <w:lastRenderedPageBreak/>
              <w:t>Obligation de respecter et protéger les droits humains uniquement imposée aux États (la majorité soutient cette obligation actuelle, sachant qu’une minorité croissante défend l’idée que les groupes armés non étatiques soient également soumis aux normes relatives aux droits humains)</w:t>
            </w:r>
          </w:p>
          <w:p w14:paraId="79FAAD7F" w14:textId="4D2DF482" w:rsidR="00C25A48" w:rsidRPr="00A77555" w:rsidRDefault="00C25A48" w:rsidP="00012938">
            <w:pPr>
              <w:pStyle w:val="ListParagraph"/>
              <w:numPr>
                <w:ilvl w:val="0"/>
                <w:numId w:val="25"/>
              </w:numPr>
              <w:ind w:left="360"/>
              <w:rPr>
                <w:rFonts w:cstheme="minorHAnsi"/>
                <w:sz w:val="24"/>
                <w:szCs w:val="24"/>
              </w:rPr>
            </w:pPr>
            <w:r>
              <w:rPr>
                <w:sz w:val="24"/>
              </w:rPr>
              <w:t xml:space="preserve">Instruments les plus pertinents </w:t>
            </w:r>
            <w:r>
              <w:rPr>
                <w:i/>
                <w:sz w:val="24"/>
              </w:rPr>
              <w:t>(aperçu, pour en connaître l’existence)</w:t>
            </w:r>
          </w:p>
        </w:tc>
      </w:tr>
      <w:tr w:rsidR="008868B0" w:rsidRPr="00D66976" w14:paraId="5D6518D6" w14:textId="77777777" w:rsidTr="00866726">
        <w:tc>
          <w:tcPr>
            <w:tcW w:w="3686" w:type="dxa"/>
          </w:tcPr>
          <w:p w14:paraId="74D74681" w14:textId="77777777" w:rsidR="008868B0" w:rsidRPr="00B73279" w:rsidRDefault="008868B0" w:rsidP="00921E03">
            <w:pPr>
              <w:pStyle w:val="Normal1"/>
              <w:rPr>
                <w:rFonts w:asciiTheme="minorHAnsi" w:hAnsiTheme="minorHAnsi" w:cstheme="minorHAnsi"/>
                <w:sz w:val="24"/>
                <w:szCs w:val="24"/>
                <w:lang w:val="fr-CH"/>
              </w:rPr>
            </w:pPr>
          </w:p>
        </w:tc>
        <w:tc>
          <w:tcPr>
            <w:tcW w:w="4395" w:type="dxa"/>
          </w:tcPr>
          <w:p w14:paraId="50EC1D80" w14:textId="77777777" w:rsidR="008868B0" w:rsidRPr="00A77555" w:rsidRDefault="008868B0" w:rsidP="008868B0">
            <w:pPr>
              <w:pStyle w:val="ListParagraph"/>
              <w:numPr>
                <w:ilvl w:val="1"/>
                <w:numId w:val="32"/>
              </w:numPr>
              <w:ind w:left="460" w:hanging="460"/>
              <w:rPr>
                <w:rFonts w:cstheme="minorHAnsi"/>
                <w:b/>
                <w:sz w:val="24"/>
                <w:szCs w:val="24"/>
              </w:rPr>
            </w:pPr>
            <w:r>
              <w:rPr>
                <w:b/>
                <w:sz w:val="24"/>
              </w:rPr>
              <w:t>DIH vs DIDH</w:t>
            </w:r>
          </w:p>
          <w:p w14:paraId="01B8B37C" w14:textId="0D34A293" w:rsidR="008868B0" w:rsidRPr="008C7BA9" w:rsidRDefault="008868B0" w:rsidP="008868B0">
            <w:pPr>
              <w:pStyle w:val="ListParagraph"/>
              <w:ind w:left="460"/>
              <w:rPr>
                <w:rFonts w:cstheme="minorHAnsi"/>
                <w:b/>
                <w:sz w:val="24"/>
                <w:szCs w:val="24"/>
              </w:rPr>
            </w:pPr>
            <w:r>
              <w:rPr>
                <w:i/>
                <w:iCs/>
                <w:sz w:val="24"/>
              </w:rPr>
              <w:t>Être capable</w:t>
            </w:r>
            <w:r>
              <w:rPr>
                <w:sz w:val="24"/>
              </w:rPr>
              <w:t xml:space="preserve"> d’expliquer la différence entre DIDH et DIH quant à leur portée</w:t>
            </w:r>
          </w:p>
        </w:tc>
        <w:tc>
          <w:tcPr>
            <w:tcW w:w="5953" w:type="dxa"/>
          </w:tcPr>
          <w:p w14:paraId="3A9F180C" w14:textId="77777777" w:rsidR="008868B0" w:rsidRPr="008868B0" w:rsidRDefault="008868B0" w:rsidP="008868B0">
            <w:pPr>
              <w:pStyle w:val="ListParagraph"/>
              <w:numPr>
                <w:ilvl w:val="0"/>
                <w:numId w:val="34"/>
              </w:numPr>
              <w:spacing w:line="276" w:lineRule="auto"/>
              <w:ind w:left="360"/>
              <w:rPr>
                <w:rFonts w:cstheme="minorHAnsi"/>
                <w:b/>
                <w:i/>
                <w:color w:val="000000" w:themeColor="text1"/>
                <w:sz w:val="24"/>
                <w:szCs w:val="24"/>
              </w:rPr>
            </w:pPr>
            <w:r>
              <w:rPr>
                <w:sz w:val="24"/>
              </w:rPr>
              <w:t>Différences entre ces deux régimes en termes de champs d’application thématiques, géographiques et personnels</w:t>
            </w:r>
          </w:p>
          <w:p w14:paraId="06B620E4" w14:textId="77777777" w:rsidR="008868B0" w:rsidRPr="008868B0" w:rsidRDefault="008868B0" w:rsidP="008868B0">
            <w:pPr>
              <w:pStyle w:val="ListParagraph"/>
              <w:numPr>
                <w:ilvl w:val="0"/>
                <w:numId w:val="34"/>
              </w:numPr>
              <w:spacing w:line="276" w:lineRule="auto"/>
              <w:ind w:left="360"/>
              <w:rPr>
                <w:rFonts w:cstheme="minorHAnsi"/>
                <w:b/>
                <w:i/>
                <w:color w:val="000000" w:themeColor="text1"/>
                <w:sz w:val="24"/>
                <w:szCs w:val="24"/>
              </w:rPr>
            </w:pPr>
            <w:r>
              <w:rPr>
                <w:sz w:val="24"/>
              </w:rPr>
              <w:t>Les droits humains s’appliquent en toute circonstance, y compris pendant un conflit armé</w:t>
            </w:r>
          </w:p>
          <w:p w14:paraId="25CA4FD3" w14:textId="2EFBA358" w:rsidR="008868B0" w:rsidRPr="008868B0" w:rsidRDefault="008868B0" w:rsidP="008868B0">
            <w:pPr>
              <w:pStyle w:val="ListParagraph"/>
              <w:numPr>
                <w:ilvl w:val="0"/>
                <w:numId w:val="34"/>
              </w:numPr>
              <w:spacing w:line="276" w:lineRule="auto"/>
              <w:ind w:left="360"/>
              <w:rPr>
                <w:rFonts w:cstheme="minorHAnsi"/>
                <w:b/>
                <w:i/>
                <w:color w:val="000000" w:themeColor="text1"/>
                <w:sz w:val="24"/>
                <w:szCs w:val="24"/>
              </w:rPr>
            </w:pPr>
            <w:r>
              <w:rPr>
                <w:sz w:val="24"/>
              </w:rPr>
              <w:t>Possibilité de déroger à certaines obligations en situation d’urgence publique menaçant la vie de la nation (+ conditions de dérogation). Cependant, certains droits et interdictions sont non dérogeables, comme les peines ou traitements dégradants et l’interdiction de l’esclavage</w:t>
            </w:r>
          </w:p>
        </w:tc>
      </w:tr>
      <w:tr w:rsidR="0062232E" w:rsidRPr="00A77555" w14:paraId="79FAADA3" w14:textId="77777777" w:rsidTr="00866726">
        <w:tc>
          <w:tcPr>
            <w:tcW w:w="3686" w:type="dxa"/>
          </w:tcPr>
          <w:p w14:paraId="79FAAD9B" w14:textId="77777777" w:rsidR="0062232E" w:rsidRPr="00B73279" w:rsidRDefault="0062232E" w:rsidP="00921E03">
            <w:pPr>
              <w:pStyle w:val="Normal1"/>
              <w:rPr>
                <w:rFonts w:asciiTheme="minorHAnsi" w:hAnsiTheme="minorHAnsi" w:cstheme="minorHAnsi"/>
                <w:sz w:val="24"/>
                <w:szCs w:val="24"/>
                <w:lang w:val="fr-CH"/>
              </w:rPr>
            </w:pPr>
          </w:p>
        </w:tc>
        <w:tc>
          <w:tcPr>
            <w:tcW w:w="4395" w:type="dxa"/>
          </w:tcPr>
          <w:p w14:paraId="79FAAD9C" w14:textId="7F99F214" w:rsidR="0062232E" w:rsidRPr="00A77555" w:rsidRDefault="00B870C5" w:rsidP="00B870C5">
            <w:pPr>
              <w:pStyle w:val="ListParagraph"/>
              <w:numPr>
                <w:ilvl w:val="1"/>
                <w:numId w:val="32"/>
              </w:numPr>
              <w:ind w:left="460" w:hanging="460"/>
              <w:rPr>
                <w:rFonts w:cstheme="minorHAnsi"/>
                <w:b/>
                <w:sz w:val="24"/>
                <w:szCs w:val="24"/>
              </w:rPr>
            </w:pPr>
            <w:r>
              <w:rPr>
                <w:b/>
                <w:sz w:val="24"/>
              </w:rPr>
              <w:t>Réfugiés, déplacés internes, migrants</w:t>
            </w:r>
          </w:p>
          <w:p w14:paraId="79FAAD9D" w14:textId="108AC73E" w:rsidR="008C7BA9" w:rsidRPr="00A77555" w:rsidRDefault="008C7BA9" w:rsidP="008C7BA9">
            <w:pPr>
              <w:pStyle w:val="ListParagraph"/>
              <w:ind w:left="360"/>
              <w:rPr>
                <w:rFonts w:cstheme="minorHAnsi"/>
                <w:b/>
                <w:sz w:val="24"/>
                <w:szCs w:val="24"/>
              </w:rPr>
            </w:pPr>
            <w:r>
              <w:rPr>
                <w:i/>
                <w:iCs/>
                <w:sz w:val="24"/>
              </w:rPr>
              <w:t>Être capable</w:t>
            </w:r>
            <w:r>
              <w:rPr>
                <w:sz w:val="24"/>
              </w:rPr>
              <w:t xml:space="preserve"> d’expliquer la distinction entre personnes réfugiées, déplacées internes et migrantes, ainsi que les règles applicables à chaque catégorie</w:t>
            </w:r>
          </w:p>
        </w:tc>
        <w:tc>
          <w:tcPr>
            <w:tcW w:w="5953" w:type="dxa"/>
          </w:tcPr>
          <w:p w14:paraId="34B023C2" w14:textId="77777777" w:rsidR="008C7BA9" w:rsidRPr="00012938" w:rsidRDefault="008C7BA9" w:rsidP="008C7BA9">
            <w:pPr>
              <w:rPr>
                <w:rFonts w:cstheme="minorHAnsi"/>
                <w:b/>
                <w:i/>
                <w:color w:val="0070C0"/>
                <w:sz w:val="24"/>
                <w:szCs w:val="24"/>
              </w:rPr>
            </w:pPr>
            <w:r>
              <w:rPr>
                <w:b/>
                <w:i/>
                <w:color w:val="0070C0"/>
                <w:sz w:val="24"/>
              </w:rPr>
              <w:t>Brève introduction uniquement</w:t>
            </w:r>
            <w:r>
              <w:rPr>
                <w:sz w:val="24"/>
              </w:rPr>
              <w:t>, pour mieux comprendre la définition juridique (et, donc, la protection applicable) des diverses catégories et garantir l’utilisation appropriée des termes</w:t>
            </w:r>
          </w:p>
          <w:p w14:paraId="199606CD" w14:textId="77777777" w:rsidR="008C7BA9" w:rsidRPr="00A77555" w:rsidRDefault="008C7BA9" w:rsidP="008C7BA9">
            <w:pPr>
              <w:pStyle w:val="ListParagraph"/>
              <w:numPr>
                <w:ilvl w:val="0"/>
                <w:numId w:val="10"/>
              </w:numPr>
              <w:rPr>
                <w:rFonts w:cstheme="minorHAnsi"/>
                <w:sz w:val="24"/>
                <w:szCs w:val="24"/>
              </w:rPr>
            </w:pPr>
            <w:r>
              <w:rPr>
                <w:sz w:val="24"/>
              </w:rPr>
              <w:t>Discutez de la différence entre personnes réfugiées, déplacées internes et migrantes</w:t>
            </w:r>
          </w:p>
          <w:p w14:paraId="6E6AB5A9" w14:textId="2B8FB479" w:rsidR="008C7BA9" w:rsidRDefault="008C7BA9" w:rsidP="008C7BA9">
            <w:pPr>
              <w:pStyle w:val="ListParagraph"/>
              <w:numPr>
                <w:ilvl w:val="0"/>
                <w:numId w:val="10"/>
              </w:numPr>
              <w:rPr>
                <w:rFonts w:cstheme="minorHAnsi"/>
                <w:sz w:val="24"/>
                <w:szCs w:val="24"/>
              </w:rPr>
            </w:pPr>
            <w:r>
              <w:rPr>
                <w:sz w:val="24"/>
              </w:rPr>
              <w:t>Définition de la notion de personne réfugiée en tant que statut juridique</w:t>
            </w:r>
          </w:p>
          <w:p w14:paraId="79FAAD9E" w14:textId="0EC80AB6" w:rsidR="0062232E" w:rsidRPr="00A77555" w:rsidRDefault="0062232E" w:rsidP="00120B2E">
            <w:pPr>
              <w:pStyle w:val="ListParagraph"/>
              <w:numPr>
                <w:ilvl w:val="0"/>
                <w:numId w:val="10"/>
              </w:numPr>
              <w:rPr>
                <w:rFonts w:cstheme="minorHAnsi"/>
                <w:sz w:val="24"/>
                <w:szCs w:val="24"/>
              </w:rPr>
            </w:pPr>
            <w:r>
              <w:rPr>
                <w:sz w:val="24"/>
              </w:rPr>
              <w:lastRenderedPageBreak/>
              <w:t xml:space="preserve">Instruments existants au niveau international et régional </w:t>
            </w:r>
          </w:p>
          <w:p w14:paraId="79FAAD9F" w14:textId="77777777" w:rsidR="0062232E" w:rsidRPr="00A77555" w:rsidRDefault="0062232E" w:rsidP="00012938">
            <w:pPr>
              <w:pStyle w:val="ListParagraph"/>
              <w:numPr>
                <w:ilvl w:val="0"/>
                <w:numId w:val="29"/>
              </w:numPr>
              <w:rPr>
                <w:rFonts w:cstheme="minorHAnsi"/>
                <w:sz w:val="24"/>
                <w:szCs w:val="24"/>
              </w:rPr>
            </w:pPr>
            <w:r>
              <w:rPr>
                <w:sz w:val="24"/>
              </w:rPr>
              <w:t>Convention de Genève relative au statut des réfugiés (1951)</w:t>
            </w:r>
          </w:p>
          <w:p w14:paraId="79FAADA0" w14:textId="77777777" w:rsidR="0062232E" w:rsidRPr="00A77555" w:rsidRDefault="0062232E" w:rsidP="00012938">
            <w:pPr>
              <w:pStyle w:val="ListParagraph"/>
              <w:numPr>
                <w:ilvl w:val="0"/>
                <w:numId w:val="29"/>
              </w:numPr>
              <w:rPr>
                <w:rFonts w:cstheme="minorHAnsi"/>
                <w:sz w:val="24"/>
                <w:szCs w:val="24"/>
              </w:rPr>
            </w:pPr>
            <w:r>
              <w:rPr>
                <w:sz w:val="24"/>
              </w:rPr>
              <w:t>Convention de l’OUA régissant les aspects propres aux problèmes des personnes réfugiées en Afrique (1969)</w:t>
            </w:r>
          </w:p>
          <w:p w14:paraId="265C30BD" w14:textId="77777777" w:rsidR="008B79BA" w:rsidRDefault="0062232E" w:rsidP="008B79BA">
            <w:pPr>
              <w:pStyle w:val="ListParagraph"/>
              <w:numPr>
                <w:ilvl w:val="0"/>
                <w:numId w:val="29"/>
              </w:numPr>
              <w:rPr>
                <w:rFonts w:cstheme="minorHAnsi"/>
                <w:sz w:val="24"/>
                <w:szCs w:val="24"/>
              </w:rPr>
            </w:pPr>
            <w:r>
              <w:rPr>
                <w:sz w:val="24"/>
              </w:rPr>
              <w:t>Principes directeurs de l’ONU relatifs au déplacement de personnes à l’intérieur de leur propre pays (non contraignants)</w:t>
            </w:r>
          </w:p>
          <w:p w14:paraId="79FAADA2" w14:textId="69D9E8D1" w:rsidR="007872C8" w:rsidRPr="007872C8" w:rsidRDefault="0062232E" w:rsidP="007872C8">
            <w:pPr>
              <w:pStyle w:val="ListParagraph"/>
              <w:numPr>
                <w:ilvl w:val="0"/>
                <w:numId w:val="29"/>
              </w:numPr>
              <w:rPr>
                <w:rFonts w:cstheme="minorHAnsi"/>
                <w:sz w:val="24"/>
                <w:szCs w:val="24"/>
              </w:rPr>
            </w:pPr>
            <w:r>
              <w:rPr>
                <w:sz w:val="24"/>
              </w:rPr>
              <w:t>Convention de Kampala (déplacés internes)</w:t>
            </w:r>
          </w:p>
        </w:tc>
      </w:tr>
      <w:tr w:rsidR="0062232E" w:rsidRPr="00D66976" w14:paraId="79FAADAD" w14:textId="77777777" w:rsidTr="00866726">
        <w:tc>
          <w:tcPr>
            <w:tcW w:w="3686" w:type="dxa"/>
            <w:vMerge w:val="restart"/>
          </w:tcPr>
          <w:p w14:paraId="79FAADA4" w14:textId="4F44991C" w:rsidR="0062232E" w:rsidRPr="00A77555" w:rsidRDefault="0062232E" w:rsidP="008C7BA9">
            <w:pPr>
              <w:pStyle w:val="Normal1"/>
              <w:numPr>
                <w:ilvl w:val="0"/>
                <w:numId w:val="32"/>
              </w:numPr>
              <w:rPr>
                <w:rFonts w:asciiTheme="minorHAnsi" w:hAnsiTheme="minorHAnsi" w:cstheme="minorHAnsi"/>
                <w:sz w:val="24"/>
                <w:szCs w:val="24"/>
              </w:rPr>
            </w:pPr>
            <w:r>
              <w:rPr>
                <w:rFonts w:asciiTheme="minorHAnsi" w:hAnsiTheme="minorHAnsi"/>
                <w:i/>
                <w:iCs/>
                <w:sz w:val="24"/>
              </w:rPr>
              <w:lastRenderedPageBreak/>
              <w:t>Être capable</w:t>
            </w:r>
            <w:r>
              <w:rPr>
                <w:rFonts w:asciiTheme="minorHAnsi" w:hAnsiTheme="minorHAnsi"/>
                <w:sz w:val="24"/>
              </w:rPr>
              <w:t xml:space="preserve"> d’expliquer les règles fondamentales et les principes applicables aux situations de conflit armé et à d’autres crises humanitaires </w:t>
            </w:r>
          </w:p>
        </w:tc>
        <w:tc>
          <w:tcPr>
            <w:tcW w:w="4395" w:type="dxa"/>
          </w:tcPr>
          <w:p w14:paraId="79FAADA6" w14:textId="586FFA84" w:rsidR="0062232E" w:rsidRPr="00D66976" w:rsidRDefault="0062232E" w:rsidP="00D66976">
            <w:pPr>
              <w:pStyle w:val="ListParagraph"/>
              <w:numPr>
                <w:ilvl w:val="1"/>
                <w:numId w:val="5"/>
              </w:numPr>
              <w:rPr>
                <w:rFonts w:cstheme="minorHAnsi"/>
                <w:b/>
                <w:sz w:val="24"/>
                <w:szCs w:val="24"/>
              </w:rPr>
            </w:pPr>
            <w:r>
              <w:rPr>
                <w:i/>
                <w:iCs/>
                <w:sz w:val="24"/>
              </w:rPr>
              <w:t>Être capable</w:t>
            </w:r>
            <w:r>
              <w:rPr>
                <w:sz w:val="24"/>
              </w:rPr>
              <w:t xml:space="preserve"> d’expliquer les règles les plus pertinentes du DIH</w:t>
            </w:r>
          </w:p>
        </w:tc>
        <w:tc>
          <w:tcPr>
            <w:tcW w:w="5953" w:type="dxa"/>
          </w:tcPr>
          <w:p w14:paraId="79FAADA7" w14:textId="77777777" w:rsidR="0062232E" w:rsidRPr="00A77555" w:rsidRDefault="0062232E" w:rsidP="00921E03">
            <w:pPr>
              <w:rPr>
                <w:rFonts w:cstheme="minorHAnsi"/>
                <w:b/>
                <w:i/>
                <w:color w:val="0070C0"/>
                <w:sz w:val="24"/>
                <w:szCs w:val="24"/>
              </w:rPr>
            </w:pPr>
            <w:r>
              <w:rPr>
                <w:b/>
                <w:i/>
                <w:color w:val="0070C0"/>
                <w:sz w:val="24"/>
              </w:rPr>
              <w:t>Partie principale de la session juridique</w:t>
            </w:r>
          </w:p>
          <w:p w14:paraId="79FAADA8" w14:textId="77777777" w:rsidR="0062232E" w:rsidRPr="00A77555" w:rsidRDefault="0062232E" w:rsidP="00120B2E">
            <w:pPr>
              <w:pStyle w:val="ListParagraph"/>
              <w:numPr>
                <w:ilvl w:val="0"/>
                <w:numId w:val="10"/>
              </w:numPr>
              <w:rPr>
                <w:rFonts w:cstheme="minorHAnsi"/>
                <w:sz w:val="24"/>
                <w:szCs w:val="24"/>
              </w:rPr>
            </w:pPr>
            <w:r>
              <w:rPr>
                <w:sz w:val="24"/>
              </w:rPr>
              <w:t xml:space="preserve">Règles relatives à la conduite des hostilités : </w:t>
            </w:r>
          </w:p>
          <w:p w14:paraId="79FAADA9" w14:textId="77777777" w:rsidR="0062232E" w:rsidRPr="00A77555" w:rsidRDefault="0062232E" w:rsidP="00012938">
            <w:pPr>
              <w:pStyle w:val="ListParagraph"/>
              <w:numPr>
                <w:ilvl w:val="0"/>
                <w:numId w:val="30"/>
              </w:numPr>
              <w:rPr>
                <w:rFonts w:cstheme="minorHAnsi"/>
                <w:sz w:val="24"/>
                <w:szCs w:val="24"/>
              </w:rPr>
            </w:pPr>
            <w:proofErr w:type="gramStart"/>
            <w:r>
              <w:rPr>
                <w:sz w:val="24"/>
              </w:rPr>
              <w:t>principes</w:t>
            </w:r>
            <w:proofErr w:type="gramEnd"/>
            <w:r>
              <w:rPr>
                <w:sz w:val="24"/>
              </w:rPr>
              <w:t xml:space="preserve"> de distinction, de proportionnalité, de précaution</w:t>
            </w:r>
          </w:p>
          <w:p w14:paraId="79FAADAA" w14:textId="77777777" w:rsidR="0062232E" w:rsidRPr="00610D69" w:rsidRDefault="0062232E" w:rsidP="00012938">
            <w:pPr>
              <w:pStyle w:val="ListParagraph"/>
              <w:numPr>
                <w:ilvl w:val="0"/>
                <w:numId w:val="30"/>
              </w:numPr>
              <w:rPr>
                <w:rFonts w:cstheme="minorHAnsi"/>
                <w:sz w:val="24"/>
                <w:szCs w:val="24"/>
              </w:rPr>
            </w:pPr>
            <w:proofErr w:type="gramStart"/>
            <w:r>
              <w:rPr>
                <w:sz w:val="24"/>
              </w:rPr>
              <w:t>principales</w:t>
            </w:r>
            <w:proofErr w:type="gramEnd"/>
            <w:r>
              <w:rPr>
                <w:sz w:val="24"/>
              </w:rPr>
              <w:t xml:space="preserve"> règles relatives aux moyens et méthodes de combat (p. ex. interdiction d’attaques sans discrimination, interdiction de maux superflus et de souffrances inutiles, examen des armes nouvelles, méthodes de combat spécifiquement interdites, etc.)</w:t>
            </w:r>
          </w:p>
          <w:p w14:paraId="79FAADAB" w14:textId="77777777" w:rsidR="0062232E" w:rsidRPr="00610D69" w:rsidRDefault="0062232E" w:rsidP="00012938">
            <w:pPr>
              <w:pStyle w:val="ListParagraph"/>
              <w:numPr>
                <w:ilvl w:val="0"/>
                <w:numId w:val="10"/>
              </w:numPr>
              <w:rPr>
                <w:rFonts w:cstheme="minorHAnsi"/>
                <w:sz w:val="24"/>
                <w:szCs w:val="24"/>
              </w:rPr>
            </w:pPr>
            <w:r>
              <w:rPr>
                <w:sz w:val="24"/>
              </w:rPr>
              <w:t>Règles relatives à la protection de personnes aux mains d’une partie au conflit (p. ex. traitement humain, règles applicables à la détention, etc.)</w:t>
            </w:r>
          </w:p>
          <w:p w14:paraId="79FAADAC" w14:textId="795C03CB" w:rsidR="0062232E" w:rsidRPr="00610D69" w:rsidRDefault="0062232E" w:rsidP="00610D69">
            <w:pPr>
              <w:pStyle w:val="ListParagraph"/>
              <w:numPr>
                <w:ilvl w:val="0"/>
                <w:numId w:val="10"/>
              </w:numPr>
              <w:spacing w:line="276" w:lineRule="auto"/>
              <w:rPr>
                <w:rFonts w:cstheme="minorHAnsi"/>
                <w:sz w:val="24"/>
                <w:szCs w:val="24"/>
              </w:rPr>
            </w:pPr>
            <w:r>
              <w:rPr>
                <w:color w:val="000000" w:themeColor="text1"/>
                <w:sz w:val="24"/>
              </w:rPr>
              <w:t xml:space="preserve">Principales règles relatives aux soins de santé (notamment le projet </w:t>
            </w:r>
            <w:proofErr w:type="spellStart"/>
            <w:r>
              <w:rPr>
                <w:color w:val="000000" w:themeColor="text1"/>
                <w:sz w:val="24"/>
              </w:rPr>
              <w:t>HCiD</w:t>
            </w:r>
            <w:proofErr w:type="spellEnd"/>
            <w:r>
              <w:rPr>
                <w:color w:val="000000" w:themeColor="text1"/>
                <w:sz w:val="24"/>
              </w:rPr>
              <w:t>, Soins de santé en danger) –</w:t>
            </w:r>
            <w:r>
              <w:rPr>
                <w:color w:val="0000FF"/>
                <w:sz w:val="24"/>
              </w:rPr>
              <w:t xml:space="preserve"> voir ci-dessous le point 2.2</w:t>
            </w:r>
            <w:r>
              <w:rPr>
                <w:color w:val="0070C0"/>
                <w:sz w:val="24"/>
              </w:rPr>
              <w:t> </w:t>
            </w:r>
            <w:r>
              <w:rPr>
                <w:color w:val="0000FF"/>
                <w:sz w:val="24"/>
              </w:rPr>
              <w:t>/ lien vers le module « Violence contre les soins de santé »</w:t>
            </w:r>
          </w:p>
        </w:tc>
      </w:tr>
      <w:tr w:rsidR="0062232E" w:rsidRPr="00D66976" w14:paraId="79FAADBC" w14:textId="77777777" w:rsidTr="00866726">
        <w:tc>
          <w:tcPr>
            <w:tcW w:w="3686" w:type="dxa"/>
            <w:vMerge/>
          </w:tcPr>
          <w:p w14:paraId="79FAADAE" w14:textId="77777777" w:rsidR="0062232E" w:rsidRPr="00B73279" w:rsidRDefault="0062232E" w:rsidP="00921E03">
            <w:pPr>
              <w:pStyle w:val="Normal1"/>
              <w:rPr>
                <w:rFonts w:asciiTheme="minorHAnsi" w:hAnsiTheme="minorHAnsi" w:cstheme="minorHAnsi"/>
                <w:sz w:val="24"/>
                <w:szCs w:val="24"/>
                <w:lang w:val="fr-CH"/>
              </w:rPr>
            </w:pPr>
          </w:p>
        </w:tc>
        <w:tc>
          <w:tcPr>
            <w:tcW w:w="4395" w:type="dxa"/>
          </w:tcPr>
          <w:p w14:paraId="79FAADB0" w14:textId="72355C2B" w:rsidR="0062232E" w:rsidRPr="00D66976" w:rsidRDefault="0062232E" w:rsidP="00D66976">
            <w:pPr>
              <w:pStyle w:val="ListParagraph"/>
              <w:numPr>
                <w:ilvl w:val="1"/>
                <w:numId w:val="4"/>
              </w:numPr>
              <w:rPr>
                <w:rFonts w:cstheme="minorHAnsi"/>
                <w:b/>
                <w:sz w:val="24"/>
                <w:szCs w:val="24"/>
              </w:rPr>
            </w:pPr>
            <w:r>
              <w:rPr>
                <w:i/>
                <w:iCs/>
                <w:sz w:val="24"/>
              </w:rPr>
              <w:t>Les participants sont en mesure</w:t>
            </w:r>
            <w:r>
              <w:rPr>
                <w:sz w:val="24"/>
              </w:rPr>
              <w:t xml:space="preserve"> d’expliquer les responsabilités du </w:t>
            </w:r>
            <w:r>
              <w:rPr>
                <w:sz w:val="24"/>
              </w:rPr>
              <w:lastRenderedPageBreak/>
              <w:t xml:space="preserve">personnel de santé intervenant en situation de crise, et les principales règles relatives aux soins et à la protection des blessés et des malades, et à la protection du personnel de santé et des services de santé dans leur ensemble </w:t>
            </w:r>
          </w:p>
        </w:tc>
        <w:tc>
          <w:tcPr>
            <w:tcW w:w="5953" w:type="dxa"/>
          </w:tcPr>
          <w:p w14:paraId="79FAADB1" w14:textId="77777777" w:rsidR="0062232E" w:rsidRPr="007872C8" w:rsidRDefault="0062232E" w:rsidP="00921E03">
            <w:pPr>
              <w:rPr>
                <w:rFonts w:cstheme="minorHAnsi"/>
                <w:b/>
                <w:i/>
                <w:color w:val="0070C0"/>
                <w:sz w:val="24"/>
                <w:szCs w:val="24"/>
              </w:rPr>
            </w:pPr>
            <w:r>
              <w:rPr>
                <w:b/>
                <w:i/>
                <w:color w:val="0070C0"/>
                <w:sz w:val="24"/>
              </w:rPr>
              <w:lastRenderedPageBreak/>
              <w:t>Partie principale de la session juridique</w:t>
            </w:r>
          </w:p>
          <w:p w14:paraId="79FAADB2" w14:textId="3E33F964" w:rsidR="0062232E" w:rsidRPr="007872C8" w:rsidRDefault="007872C8" w:rsidP="00921E03">
            <w:pPr>
              <w:rPr>
                <w:rFonts w:cstheme="minorHAnsi"/>
                <w:color w:val="0000FF"/>
                <w:sz w:val="24"/>
                <w:szCs w:val="24"/>
              </w:rPr>
            </w:pPr>
            <w:r>
              <w:rPr>
                <w:color w:val="0000FF"/>
                <w:sz w:val="24"/>
              </w:rPr>
              <w:lastRenderedPageBreak/>
              <w:t>Lien vers d’autres modules de formation, p. </w:t>
            </w:r>
            <w:proofErr w:type="gramStart"/>
            <w:r>
              <w:rPr>
                <w:color w:val="0000FF"/>
                <w:sz w:val="24"/>
              </w:rPr>
              <w:t>ex « Violences</w:t>
            </w:r>
            <w:proofErr w:type="gramEnd"/>
            <w:r>
              <w:rPr>
                <w:color w:val="0000FF"/>
                <w:sz w:val="24"/>
              </w:rPr>
              <w:t xml:space="preserve"> contre les soins de santé » et « Protection humanitaire »</w:t>
            </w:r>
          </w:p>
          <w:p w14:paraId="79FAADB3" w14:textId="77777777" w:rsidR="0062232E" w:rsidRPr="00B73279" w:rsidRDefault="0062232E" w:rsidP="00921E03">
            <w:pPr>
              <w:rPr>
                <w:rFonts w:cstheme="minorHAnsi"/>
                <w:sz w:val="24"/>
                <w:szCs w:val="24"/>
                <w:lang w:val="fr-CH"/>
              </w:rPr>
            </w:pPr>
          </w:p>
          <w:p w14:paraId="79FAADB4" w14:textId="77777777" w:rsidR="0062232E" w:rsidRPr="00610D69" w:rsidRDefault="0062232E" w:rsidP="00120B2E">
            <w:pPr>
              <w:pStyle w:val="ListParagraph"/>
              <w:numPr>
                <w:ilvl w:val="0"/>
                <w:numId w:val="10"/>
              </w:numPr>
              <w:rPr>
                <w:rFonts w:cstheme="minorHAnsi"/>
                <w:sz w:val="24"/>
                <w:szCs w:val="24"/>
              </w:rPr>
            </w:pPr>
            <w:r>
              <w:rPr>
                <w:sz w:val="24"/>
              </w:rPr>
              <w:t>Protection des personnes blessées et malades (militaires et civils) : respecter, protéger, soigner (y compris évacuation et égalité de traitement)</w:t>
            </w:r>
          </w:p>
          <w:p w14:paraId="79FAADB5" w14:textId="77777777" w:rsidR="0062232E" w:rsidRPr="00610D69" w:rsidRDefault="0062232E" w:rsidP="00120B2E">
            <w:pPr>
              <w:pStyle w:val="ListParagraph"/>
              <w:numPr>
                <w:ilvl w:val="0"/>
                <w:numId w:val="10"/>
              </w:numPr>
              <w:rPr>
                <w:rFonts w:cstheme="minorHAnsi"/>
                <w:sz w:val="24"/>
                <w:szCs w:val="24"/>
              </w:rPr>
            </w:pPr>
            <w:r>
              <w:rPr>
                <w:sz w:val="24"/>
              </w:rPr>
              <w:t xml:space="preserve">Protection du personnel médical : </w:t>
            </w:r>
          </w:p>
          <w:p w14:paraId="79FAADB6" w14:textId="77777777" w:rsidR="0062232E" w:rsidRPr="00610D69" w:rsidRDefault="0062232E" w:rsidP="00012938">
            <w:pPr>
              <w:pStyle w:val="ListParagraph"/>
              <w:numPr>
                <w:ilvl w:val="0"/>
                <w:numId w:val="31"/>
              </w:numPr>
              <w:rPr>
                <w:rFonts w:cstheme="minorHAnsi"/>
                <w:sz w:val="24"/>
                <w:szCs w:val="24"/>
              </w:rPr>
            </w:pPr>
            <w:proofErr w:type="gramStart"/>
            <w:r>
              <w:rPr>
                <w:sz w:val="24"/>
              </w:rPr>
              <w:t>sur</w:t>
            </w:r>
            <w:proofErr w:type="gramEnd"/>
            <w:r>
              <w:rPr>
                <w:sz w:val="24"/>
              </w:rPr>
              <w:t xml:space="preserve"> le champ de bataille : ne peut pas être agressé, peut accomplir des fonctions médicales conformément à l’éthique médicale, etc.</w:t>
            </w:r>
          </w:p>
          <w:p w14:paraId="79FAADB7" w14:textId="77777777" w:rsidR="0062232E" w:rsidRPr="00610D69" w:rsidRDefault="0062232E" w:rsidP="00012938">
            <w:pPr>
              <w:pStyle w:val="ListParagraph"/>
              <w:numPr>
                <w:ilvl w:val="0"/>
                <w:numId w:val="31"/>
              </w:numPr>
              <w:rPr>
                <w:rFonts w:cstheme="minorHAnsi"/>
                <w:sz w:val="24"/>
                <w:szCs w:val="24"/>
              </w:rPr>
            </w:pPr>
            <w:proofErr w:type="gramStart"/>
            <w:r>
              <w:rPr>
                <w:sz w:val="24"/>
              </w:rPr>
              <w:t>une</w:t>
            </w:r>
            <w:proofErr w:type="gramEnd"/>
            <w:r>
              <w:rPr>
                <w:sz w:val="24"/>
              </w:rPr>
              <w:t xml:space="preserve"> fois aux mains de l’ennemi : rapatriement ou soins fournis aux prisonniers de guerre</w:t>
            </w:r>
          </w:p>
          <w:p w14:paraId="79FAADB8" w14:textId="77777777" w:rsidR="0062232E" w:rsidRPr="00610D69" w:rsidRDefault="0062232E" w:rsidP="00012938">
            <w:pPr>
              <w:pStyle w:val="ListParagraph"/>
              <w:numPr>
                <w:ilvl w:val="0"/>
                <w:numId w:val="31"/>
              </w:numPr>
              <w:rPr>
                <w:rFonts w:cstheme="minorHAnsi"/>
                <w:sz w:val="24"/>
                <w:szCs w:val="24"/>
              </w:rPr>
            </w:pPr>
            <w:proofErr w:type="gramStart"/>
            <w:r>
              <w:rPr>
                <w:sz w:val="24"/>
              </w:rPr>
              <w:t>sous</w:t>
            </w:r>
            <w:proofErr w:type="gramEnd"/>
            <w:r>
              <w:rPr>
                <w:sz w:val="24"/>
              </w:rPr>
              <w:t xml:space="preserve"> le contrôle de l’ennemi : droit d’accomplir sa mission médicale, etc.</w:t>
            </w:r>
          </w:p>
          <w:p w14:paraId="79FAADB9" w14:textId="77777777" w:rsidR="0062232E" w:rsidRPr="00610D69" w:rsidRDefault="0062232E" w:rsidP="00012938">
            <w:pPr>
              <w:pStyle w:val="ListParagraph"/>
              <w:numPr>
                <w:ilvl w:val="0"/>
                <w:numId w:val="31"/>
              </w:numPr>
              <w:rPr>
                <w:rFonts w:cstheme="minorHAnsi"/>
                <w:sz w:val="24"/>
                <w:szCs w:val="24"/>
              </w:rPr>
            </w:pPr>
            <w:proofErr w:type="gramStart"/>
            <w:r>
              <w:rPr>
                <w:sz w:val="24"/>
              </w:rPr>
              <w:t>obligations</w:t>
            </w:r>
            <w:proofErr w:type="gramEnd"/>
            <w:r>
              <w:rPr>
                <w:sz w:val="24"/>
              </w:rPr>
              <w:t xml:space="preserve"> du personnel médical (notamment s'abstenir de participer aux hostilités, soins prodigués sans discrimination, etc.)</w:t>
            </w:r>
          </w:p>
          <w:p w14:paraId="79FAADBA" w14:textId="77777777" w:rsidR="0062232E" w:rsidRPr="00610D69" w:rsidRDefault="0062232E" w:rsidP="00120B2E">
            <w:pPr>
              <w:pStyle w:val="ListParagraph"/>
              <w:numPr>
                <w:ilvl w:val="0"/>
                <w:numId w:val="10"/>
              </w:numPr>
              <w:rPr>
                <w:rFonts w:cstheme="minorHAnsi"/>
                <w:b/>
                <w:i/>
                <w:sz w:val="24"/>
                <w:szCs w:val="24"/>
              </w:rPr>
            </w:pPr>
            <w:r>
              <w:rPr>
                <w:sz w:val="24"/>
              </w:rPr>
              <w:t>Protection des services médicaux et cas de perte de la protection des services médicaux</w:t>
            </w:r>
          </w:p>
          <w:p w14:paraId="79FAADBB" w14:textId="32CF62E6" w:rsidR="0062232E" w:rsidRPr="00D944CE" w:rsidRDefault="0062232E" w:rsidP="00921E03">
            <w:pPr>
              <w:pStyle w:val="ListParagraph"/>
              <w:ind w:left="360"/>
              <w:rPr>
                <w:rFonts w:cstheme="minorHAnsi"/>
                <w:i/>
                <w:sz w:val="24"/>
                <w:szCs w:val="24"/>
                <w:lang w:val="fr-CH"/>
              </w:rPr>
            </w:pPr>
          </w:p>
        </w:tc>
      </w:tr>
      <w:tr w:rsidR="00B870C5" w:rsidRPr="00D66976" w14:paraId="22D563F4" w14:textId="77777777" w:rsidTr="00866726">
        <w:tc>
          <w:tcPr>
            <w:tcW w:w="3686" w:type="dxa"/>
            <w:vMerge/>
          </w:tcPr>
          <w:p w14:paraId="3BE2E3F7" w14:textId="77777777" w:rsidR="00B870C5" w:rsidRPr="00D944CE" w:rsidRDefault="00B870C5" w:rsidP="00921E03">
            <w:pPr>
              <w:pStyle w:val="Normal1"/>
              <w:rPr>
                <w:rFonts w:asciiTheme="minorHAnsi" w:hAnsiTheme="minorHAnsi" w:cstheme="minorHAnsi"/>
                <w:sz w:val="24"/>
                <w:szCs w:val="24"/>
                <w:lang w:val="fr-CH"/>
              </w:rPr>
            </w:pPr>
          </w:p>
        </w:tc>
        <w:tc>
          <w:tcPr>
            <w:tcW w:w="4395" w:type="dxa"/>
          </w:tcPr>
          <w:p w14:paraId="00E900FD" w14:textId="7BF1E0DF" w:rsidR="007872C8" w:rsidRPr="007872C8" w:rsidRDefault="007872C8" w:rsidP="00120B2E">
            <w:pPr>
              <w:pStyle w:val="ListParagraph"/>
              <w:numPr>
                <w:ilvl w:val="1"/>
                <w:numId w:val="4"/>
              </w:numPr>
              <w:rPr>
                <w:rFonts w:cstheme="minorHAnsi"/>
                <w:b/>
                <w:sz w:val="24"/>
                <w:szCs w:val="24"/>
              </w:rPr>
            </w:pPr>
            <w:r>
              <w:rPr>
                <w:b/>
                <w:sz w:val="24"/>
              </w:rPr>
              <w:t>Emblèmes de la Croix-Rouge et du Croissant-Rouge</w:t>
            </w:r>
          </w:p>
          <w:p w14:paraId="0A504690" w14:textId="7A0DDEDD" w:rsidR="00B870C5" w:rsidRPr="00B870C5" w:rsidRDefault="00B870C5" w:rsidP="007872C8">
            <w:pPr>
              <w:pStyle w:val="ListParagraph"/>
              <w:ind w:left="360"/>
              <w:rPr>
                <w:rFonts w:cstheme="minorHAnsi"/>
                <w:sz w:val="24"/>
                <w:szCs w:val="24"/>
              </w:rPr>
            </w:pPr>
            <w:r>
              <w:rPr>
                <w:i/>
                <w:iCs/>
                <w:sz w:val="24"/>
              </w:rPr>
              <w:t>Être capable</w:t>
            </w:r>
            <w:r>
              <w:rPr>
                <w:sz w:val="24"/>
              </w:rPr>
              <w:t xml:space="preserve"> d’expliquer l’usage indicatif et protecteur des emblèmes de la Croix-Rouge, du Croissant-Rouge et du Cristal-Rouge</w:t>
            </w:r>
          </w:p>
        </w:tc>
        <w:tc>
          <w:tcPr>
            <w:tcW w:w="5953" w:type="dxa"/>
          </w:tcPr>
          <w:p w14:paraId="44AFAEE5" w14:textId="6B1CE313" w:rsidR="00B870C5" w:rsidRPr="00610D69" w:rsidRDefault="00B870C5" w:rsidP="00B870C5">
            <w:pPr>
              <w:pStyle w:val="ListParagraph"/>
              <w:numPr>
                <w:ilvl w:val="0"/>
                <w:numId w:val="10"/>
              </w:numPr>
              <w:rPr>
                <w:rFonts w:cstheme="minorHAnsi"/>
                <w:b/>
                <w:i/>
                <w:sz w:val="24"/>
                <w:szCs w:val="24"/>
              </w:rPr>
            </w:pPr>
            <w:r>
              <w:rPr>
                <w:sz w:val="24"/>
              </w:rPr>
              <w:t>Règles applicables aux emblèmes de la Croix-Rouge, du Croissant-Rouge et du Cristal Rouge</w:t>
            </w:r>
          </w:p>
        </w:tc>
      </w:tr>
      <w:tr w:rsidR="0062232E" w:rsidRPr="00D66976" w14:paraId="79FAADCC" w14:textId="77777777" w:rsidTr="00866726">
        <w:tc>
          <w:tcPr>
            <w:tcW w:w="3686" w:type="dxa"/>
            <w:vMerge/>
          </w:tcPr>
          <w:p w14:paraId="79FAADC7" w14:textId="77777777" w:rsidR="0062232E" w:rsidRPr="00D944CE" w:rsidRDefault="0062232E" w:rsidP="00921E03">
            <w:pPr>
              <w:pStyle w:val="Normal1"/>
              <w:rPr>
                <w:rFonts w:asciiTheme="minorHAnsi" w:hAnsiTheme="minorHAnsi" w:cstheme="minorHAnsi"/>
                <w:sz w:val="24"/>
                <w:szCs w:val="24"/>
                <w:lang w:val="fr-CH"/>
              </w:rPr>
            </w:pPr>
          </w:p>
        </w:tc>
        <w:tc>
          <w:tcPr>
            <w:tcW w:w="4395" w:type="dxa"/>
          </w:tcPr>
          <w:p w14:paraId="79FAADC8" w14:textId="10FCECA5" w:rsidR="0062232E" w:rsidRPr="00A77555" w:rsidRDefault="00D66976" w:rsidP="00120B2E">
            <w:pPr>
              <w:pStyle w:val="ListParagraph"/>
              <w:numPr>
                <w:ilvl w:val="1"/>
                <w:numId w:val="4"/>
              </w:numPr>
              <w:rPr>
                <w:rFonts w:cstheme="minorHAnsi"/>
                <w:b/>
                <w:sz w:val="24"/>
                <w:szCs w:val="24"/>
              </w:rPr>
            </w:pPr>
            <w:r>
              <w:rPr>
                <w:b/>
                <w:sz w:val="24"/>
              </w:rPr>
              <w:t>Réglementation mondiale en matière de santé</w:t>
            </w:r>
          </w:p>
          <w:p w14:paraId="79FAADC9" w14:textId="77777777" w:rsidR="0062232E" w:rsidRPr="00A77555" w:rsidRDefault="0062232E" w:rsidP="00921E03">
            <w:pPr>
              <w:pStyle w:val="Normal1"/>
              <w:ind w:left="360"/>
              <w:rPr>
                <w:rFonts w:asciiTheme="minorHAnsi" w:hAnsiTheme="minorHAnsi" w:cstheme="minorHAnsi"/>
                <w:i/>
                <w:sz w:val="24"/>
                <w:szCs w:val="24"/>
              </w:rPr>
            </w:pPr>
            <w:r>
              <w:rPr>
                <w:rFonts w:asciiTheme="minorHAnsi" w:hAnsiTheme="minorHAnsi"/>
                <w:i/>
                <w:sz w:val="24"/>
              </w:rPr>
              <w:lastRenderedPageBreak/>
              <w:t>Être capable</w:t>
            </w:r>
            <w:r>
              <w:rPr>
                <w:rFonts w:asciiTheme="minorHAnsi" w:hAnsiTheme="minorHAnsi"/>
                <w:sz w:val="24"/>
              </w:rPr>
              <w:t xml:space="preserve"> d’expliquer l’objet et la portée du Règlement sanitaire international </w:t>
            </w:r>
            <w:r>
              <w:rPr>
                <w:rFonts w:asciiTheme="minorHAnsi" w:hAnsiTheme="minorHAnsi"/>
                <w:i/>
                <w:sz w:val="24"/>
              </w:rPr>
              <w:t xml:space="preserve"> </w:t>
            </w:r>
          </w:p>
        </w:tc>
        <w:tc>
          <w:tcPr>
            <w:tcW w:w="5953" w:type="dxa"/>
          </w:tcPr>
          <w:p w14:paraId="79FAADCA" w14:textId="77777777" w:rsidR="0062232E" w:rsidRPr="00A77555" w:rsidRDefault="0062232E" w:rsidP="00921E03">
            <w:pPr>
              <w:rPr>
                <w:rFonts w:cstheme="minorHAnsi"/>
                <w:sz w:val="24"/>
                <w:szCs w:val="24"/>
              </w:rPr>
            </w:pPr>
            <w:r>
              <w:rPr>
                <w:b/>
                <w:i/>
                <w:color w:val="0070C0"/>
                <w:sz w:val="24"/>
              </w:rPr>
              <w:lastRenderedPageBreak/>
              <w:t>Brève introduction</w:t>
            </w:r>
            <w:r>
              <w:rPr>
                <w:color w:val="0070C0"/>
                <w:sz w:val="24"/>
              </w:rPr>
              <w:t xml:space="preserve"> </w:t>
            </w:r>
            <w:r>
              <w:rPr>
                <w:sz w:val="24"/>
              </w:rPr>
              <w:t xml:space="preserve">au Règlement sanitaire international (2005) – accord conclu entre 196 pays, dont tous les États membres de l’OMS, pour collaborer aux fins de la sécurité sanitaire mondiale. </w:t>
            </w:r>
          </w:p>
          <w:p w14:paraId="79FAADCB" w14:textId="4CAC9D93" w:rsidR="0062232E" w:rsidRPr="007872C8" w:rsidRDefault="00012938" w:rsidP="007872C8">
            <w:pPr>
              <w:pStyle w:val="ListParagraph"/>
              <w:numPr>
                <w:ilvl w:val="0"/>
                <w:numId w:val="10"/>
              </w:numPr>
              <w:rPr>
                <w:rFonts w:cstheme="minorHAnsi"/>
                <w:i/>
                <w:sz w:val="24"/>
                <w:szCs w:val="24"/>
              </w:rPr>
            </w:pPr>
            <w:r>
              <w:rPr>
                <w:sz w:val="24"/>
              </w:rPr>
              <w:lastRenderedPageBreak/>
              <w:t xml:space="preserve">Travail axé sur l’objet et la portée du RSI </w:t>
            </w:r>
          </w:p>
        </w:tc>
      </w:tr>
    </w:tbl>
    <w:p w14:paraId="79FAADDB" w14:textId="77777777" w:rsidR="00120B2E" w:rsidRPr="00D944CE" w:rsidRDefault="00120B2E">
      <w:pPr>
        <w:rPr>
          <w:rFonts w:cstheme="minorHAnsi"/>
          <w:sz w:val="24"/>
          <w:szCs w:val="24"/>
          <w:lang w:val="fr-CH"/>
        </w:rPr>
      </w:pPr>
    </w:p>
    <w:sectPr w:rsidR="00120B2E" w:rsidRPr="00D944CE" w:rsidSect="00120B2E">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5CEC" w14:textId="77777777" w:rsidR="00CC404C" w:rsidRDefault="00CC404C" w:rsidP="0062232E">
      <w:pPr>
        <w:spacing w:after="0" w:line="240" w:lineRule="auto"/>
      </w:pPr>
      <w:r>
        <w:separator/>
      </w:r>
    </w:p>
  </w:endnote>
  <w:endnote w:type="continuationSeparator" w:id="0">
    <w:p w14:paraId="5BDAA847" w14:textId="77777777" w:rsidR="00CC404C" w:rsidRDefault="00CC404C" w:rsidP="00622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0998" w14:textId="77777777" w:rsidR="00CC404C" w:rsidRDefault="00CC404C" w:rsidP="0062232E">
      <w:pPr>
        <w:spacing w:after="0" w:line="240" w:lineRule="auto"/>
      </w:pPr>
      <w:r>
        <w:separator/>
      </w:r>
    </w:p>
  </w:footnote>
  <w:footnote w:type="continuationSeparator" w:id="0">
    <w:p w14:paraId="2FE62F46" w14:textId="77777777" w:rsidR="00CC404C" w:rsidRDefault="00CC404C" w:rsidP="00622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ADE0" w14:textId="191CCDF1" w:rsidR="0062232E" w:rsidRPr="0062232E" w:rsidRDefault="00A75569">
    <w:pPr>
      <w:pStyle w:val="Header"/>
    </w:pPr>
    <w:r>
      <w:t>Version 16 12.2019 -</w:t>
    </w:r>
    <w:r>
      <w:rPr>
        <w:highlight w:val="yellow"/>
      </w:rPr>
      <w:t>2019 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F8D"/>
    <w:multiLevelType w:val="multilevel"/>
    <w:tmpl w:val="0DC83026"/>
    <w:lvl w:ilvl="0">
      <w:start w:val="2"/>
      <w:numFmt w:val="none"/>
      <w:lvlText w:val="3.1"/>
      <w:lvlJc w:val="left"/>
      <w:pPr>
        <w:ind w:left="360" w:hanging="360"/>
      </w:pPr>
      <w:rPr>
        <w:rFonts w:hint="default"/>
        <w:b w:val="0"/>
        <w:sz w:val="22"/>
        <w:szCs w:val="22"/>
      </w:rPr>
    </w:lvl>
    <w:lvl w:ilvl="1">
      <w:start w:val="1"/>
      <w:numFmt w:val="none"/>
      <w:lvlText w:val="3.1"/>
      <w:lvlJc w:val="left"/>
      <w:pPr>
        <w:ind w:left="360" w:hanging="360"/>
      </w:pPr>
      <w:rPr>
        <w:rFonts w:hint="default"/>
        <w:b w:val="0"/>
        <w:i/>
        <w:sz w:val="22"/>
        <w:szCs w:val="22"/>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6021B5"/>
    <w:multiLevelType w:val="hybridMultilevel"/>
    <w:tmpl w:val="84120870"/>
    <w:lvl w:ilvl="0" w:tplc="100C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270B1"/>
    <w:multiLevelType w:val="hybridMultilevel"/>
    <w:tmpl w:val="0A54A726"/>
    <w:lvl w:ilvl="0" w:tplc="100C0001">
      <w:start w:val="1"/>
      <w:numFmt w:val="bullet"/>
      <w:lvlText w:val=""/>
      <w:lvlJc w:val="left"/>
      <w:pPr>
        <w:ind w:left="720" w:hanging="360"/>
      </w:pPr>
      <w:rPr>
        <w:rFonts w:ascii="Symbol" w:hAnsi="Symbol" w:hint="default"/>
      </w:rPr>
    </w:lvl>
    <w:lvl w:ilvl="1" w:tplc="100C0001">
      <w:start w:val="1"/>
      <w:numFmt w:val="bullet"/>
      <w:lvlText w:val=""/>
      <w:lvlJc w:val="left"/>
      <w:pPr>
        <w:ind w:left="1440" w:hanging="360"/>
      </w:pPr>
      <w:rPr>
        <w:rFonts w:ascii="Symbol" w:hAnsi="Symbo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8A54E2F"/>
    <w:multiLevelType w:val="hybridMultilevel"/>
    <w:tmpl w:val="675471D2"/>
    <w:lvl w:ilvl="0" w:tplc="100C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E7E07"/>
    <w:multiLevelType w:val="hybridMultilevel"/>
    <w:tmpl w:val="6756E4B8"/>
    <w:lvl w:ilvl="0" w:tplc="100C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31A1D"/>
    <w:multiLevelType w:val="hybridMultilevel"/>
    <w:tmpl w:val="E6EEC860"/>
    <w:lvl w:ilvl="0" w:tplc="83E086A0">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65534"/>
    <w:multiLevelType w:val="hybridMultilevel"/>
    <w:tmpl w:val="E230E242"/>
    <w:lvl w:ilvl="0" w:tplc="83E086A0">
      <w:start w:val="1"/>
      <w:numFmt w:val="bullet"/>
      <w:lvlText w:val="-"/>
      <w:lvlJc w:val="left"/>
      <w:pPr>
        <w:ind w:left="720" w:hanging="360"/>
      </w:pPr>
      <w:rPr>
        <w:rFonts w:ascii="Calibri" w:hAnsi="Calibri" w:hint="default"/>
      </w:rPr>
    </w:lvl>
    <w:lvl w:ilvl="1" w:tplc="FA540C68">
      <w:numFmt w:val="bullet"/>
      <w:lvlText w:val="-"/>
      <w:lvlJc w:val="left"/>
      <w:pPr>
        <w:ind w:left="1440" w:hanging="360"/>
      </w:pPr>
      <w:rPr>
        <w:rFonts w:ascii="Calibri" w:eastAsiaTheme="minorHAnsi" w:hAnsi="Calibri" w:cstheme="minorBidi" w:hint="default"/>
      </w:rPr>
    </w:lvl>
    <w:lvl w:ilvl="2" w:tplc="100C0003">
      <w:start w:val="1"/>
      <w:numFmt w:val="bullet"/>
      <w:lvlText w:val="o"/>
      <w:lvlJc w:val="left"/>
      <w:pPr>
        <w:ind w:left="2160" w:hanging="360"/>
      </w:pPr>
      <w:rPr>
        <w:rFonts w:ascii="Courier New" w:hAnsi="Courier New" w:cs="Courier New"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B694E62"/>
    <w:multiLevelType w:val="multilevel"/>
    <w:tmpl w:val="FC68DA14"/>
    <w:lvl w:ilvl="0">
      <w:start w:val="1"/>
      <w:numFmt w:val="decimal"/>
      <w:lvlText w:val="%1."/>
      <w:lvlJc w:val="left"/>
      <w:pPr>
        <w:ind w:left="360" w:hanging="360"/>
      </w:pPr>
      <w:rPr>
        <w:rFonts w:hint="default"/>
        <w:i/>
      </w:rPr>
    </w:lvl>
    <w:lvl w:ilvl="1">
      <w:start w:val="3"/>
      <w:numFmt w:val="decimal"/>
      <w:lvlText w:val="%1.%2."/>
      <w:lvlJc w:val="left"/>
      <w:pPr>
        <w:ind w:left="360" w:hanging="360"/>
      </w:pPr>
      <w:rPr>
        <w:rFonts w:hint="default"/>
        <w:b w:val="0"/>
        <w:i/>
        <w:sz w:val="22"/>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1C38420B"/>
    <w:multiLevelType w:val="hybridMultilevel"/>
    <w:tmpl w:val="B59CC9EE"/>
    <w:lvl w:ilvl="0" w:tplc="100C0001">
      <w:start w:val="1"/>
      <w:numFmt w:val="bullet"/>
      <w:lvlText w:val=""/>
      <w:lvlJc w:val="left"/>
      <w:pPr>
        <w:ind w:left="720" w:hanging="360"/>
      </w:pPr>
      <w:rPr>
        <w:rFonts w:ascii="Symbol" w:hAnsi="Symbol" w:hint="default"/>
      </w:rPr>
    </w:lvl>
    <w:lvl w:ilvl="1" w:tplc="83E086A0">
      <w:start w:val="1"/>
      <w:numFmt w:val="bullet"/>
      <w:lvlText w:val="-"/>
      <w:lvlJc w:val="left"/>
      <w:pPr>
        <w:ind w:left="1440" w:hanging="360"/>
      </w:pPr>
      <w:rPr>
        <w:rFonts w:ascii="Calibri" w:hAnsi="Calibr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CA64E0B"/>
    <w:multiLevelType w:val="hybridMultilevel"/>
    <w:tmpl w:val="66567AF6"/>
    <w:lvl w:ilvl="0" w:tplc="83E086A0">
      <w:start w:val="1"/>
      <w:numFmt w:val="bullet"/>
      <w:lvlText w:val="-"/>
      <w:lvlJc w:val="left"/>
      <w:pPr>
        <w:ind w:left="720" w:hanging="360"/>
      </w:pPr>
      <w:rPr>
        <w:rFonts w:ascii="Calibri" w:hAnsi="Calibri" w:hint="default"/>
      </w:rPr>
    </w:lvl>
    <w:lvl w:ilvl="1" w:tplc="FA540C68">
      <w:numFmt w:val="bullet"/>
      <w:lvlText w:val="-"/>
      <w:lvlJc w:val="left"/>
      <w:pPr>
        <w:ind w:left="1440" w:hanging="360"/>
      </w:pPr>
      <w:rPr>
        <w:rFonts w:ascii="Calibri" w:eastAsiaTheme="minorHAnsi" w:hAnsi="Calibri" w:cstheme="minorBidi" w:hint="default"/>
      </w:rPr>
    </w:lvl>
    <w:lvl w:ilvl="2" w:tplc="100C0003">
      <w:start w:val="1"/>
      <w:numFmt w:val="bullet"/>
      <w:lvlText w:val="o"/>
      <w:lvlJc w:val="left"/>
      <w:pPr>
        <w:ind w:left="2160" w:hanging="360"/>
      </w:pPr>
      <w:rPr>
        <w:rFonts w:ascii="Courier New" w:hAnsi="Courier New" w:cs="Courier New"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2195A4C"/>
    <w:multiLevelType w:val="multilevel"/>
    <w:tmpl w:val="31423CB6"/>
    <w:lvl w:ilvl="0">
      <w:start w:val="2"/>
      <w:numFmt w:val="none"/>
      <w:lvlText w:val="3.2"/>
      <w:lvlJc w:val="left"/>
      <w:pPr>
        <w:ind w:left="360" w:hanging="360"/>
      </w:pPr>
      <w:rPr>
        <w:rFonts w:hint="default"/>
        <w:b w:val="0"/>
        <w:sz w:val="22"/>
        <w:szCs w:val="22"/>
      </w:rPr>
    </w:lvl>
    <w:lvl w:ilvl="1">
      <w:start w:val="1"/>
      <w:numFmt w:val="none"/>
      <w:lvlText w:val="3.2"/>
      <w:lvlJc w:val="left"/>
      <w:pPr>
        <w:ind w:left="360" w:hanging="360"/>
      </w:pPr>
      <w:rPr>
        <w:rFonts w:hint="default"/>
        <w:b w:val="0"/>
        <w: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F53A17"/>
    <w:multiLevelType w:val="hybridMultilevel"/>
    <w:tmpl w:val="9CAAA54C"/>
    <w:lvl w:ilvl="0" w:tplc="100C0001">
      <w:start w:val="1"/>
      <w:numFmt w:val="bullet"/>
      <w:lvlText w:val=""/>
      <w:lvlJc w:val="left"/>
      <w:pPr>
        <w:ind w:left="720" w:hanging="360"/>
      </w:pPr>
      <w:rPr>
        <w:rFonts w:ascii="Symbol" w:hAnsi="Symbol" w:hint="default"/>
      </w:rPr>
    </w:lvl>
    <w:lvl w:ilvl="1" w:tplc="FA540C68">
      <w:numFmt w:val="bullet"/>
      <w:lvlText w:val="-"/>
      <w:lvlJc w:val="left"/>
      <w:pPr>
        <w:ind w:left="1440" w:hanging="360"/>
      </w:pPr>
      <w:rPr>
        <w:rFonts w:ascii="Calibri" w:eastAsiaTheme="minorHAnsi" w:hAnsi="Calibri" w:cstheme="minorBidi"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4B43A06"/>
    <w:multiLevelType w:val="hybridMultilevel"/>
    <w:tmpl w:val="7916AAD0"/>
    <w:lvl w:ilvl="0" w:tplc="100C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C4351"/>
    <w:multiLevelType w:val="hybridMultilevel"/>
    <w:tmpl w:val="688C53DA"/>
    <w:lvl w:ilvl="0" w:tplc="FA540C6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1700D3"/>
    <w:multiLevelType w:val="hybridMultilevel"/>
    <w:tmpl w:val="6184827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27F80D62"/>
    <w:multiLevelType w:val="hybridMultilevel"/>
    <w:tmpl w:val="E11EF73A"/>
    <w:lvl w:ilvl="0" w:tplc="B49C5532">
      <w:start w:val="1"/>
      <w:numFmt w:val="decimal"/>
      <w:lvlText w:val="%1."/>
      <w:lvlJc w:val="left"/>
      <w:pPr>
        <w:ind w:left="360" w:hanging="360"/>
      </w:pPr>
      <w:rPr>
        <w:rFonts w:hint="default"/>
        <w:b/>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36194D"/>
    <w:multiLevelType w:val="hybridMultilevel"/>
    <w:tmpl w:val="A810F51E"/>
    <w:lvl w:ilvl="0" w:tplc="100C0003">
      <w:start w:val="1"/>
      <w:numFmt w:val="bullet"/>
      <w:lvlText w:val="o"/>
      <w:lvlJc w:val="left"/>
      <w:pPr>
        <w:ind w:left="720" w:hanging="360"/>
      </w:pPr>
      <w:rPr>
        <w:rFonts w:ascii="Courier New" w:hAnsi="Courier New" w:cs="Courier New" w:hint="default"/>
      </w:rPr>
    </w:lvl>
    <w:lvl w:ilvl="1" w:tplc="FA540C68">
      <w:numFmt w:val="bullet"/>
      <w:lvlText w:val="-"/>
      <w:lvlJc w:val="left"/>
      <w:pPr>
        <w:ind w:left="1440" w:hanging="360"/>
      </w:pPr>
      <w:rPr>
        <w:rFonts w:ascii="Calibri" w:eastAsiaTheme="minorHAnsi" w:hAnsi="Calibri" w:cstheme="minorBidi" w:hint="default"/>
      </w:rPr>
    </w:lvl>
    <w:lvl w:ilvl="2" w:tplc="100C0003">
      <w:start w:val="1"/>
      <w:numFmt w:val="bullet"/>
      <w:lvlText w:val="o"/>
      <w:lvlJc w:val="left"/>
      <w:pPr>
        <w:ind w:left="2160" w:hanging="360"/>
      </w:pPr>
      <w:rPr>
        <w:rFonts w:ascii="Courier New" w:hAnsi="Courier New" w:cs="Courier New"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2A693966"/>
    <w:multiLevelType w:val="hybridMultilevel"/>
    <w:tmpl w:val="5A18DF94"/>
    <w:lvl w:ilvl="0" w:tplc="100C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473B64"/>
    <w:multiLevelType w:val="hybridMultilevel"/>
    <w:tmpl w:val="6630A8D6"/>
    <w:lvl w:ilvl="0" w:tplc="83E086A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439BA"/>
    <w:multiLevelType w:val="multilevel"/>
    <w:tmpl w:val="19229C3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i/>
        <w:color w:val="000000" w:themeColor="text1"/>
        <w:sz w:val="22"/>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20" w15:restartNumberingAfterBreak="0">
    <w:nsid w:val="32EA7CD2"/>
    <w:multiLevelType w:val="hybridMultilevel"/>
    <w:tmpl w:val="D7E2AC0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34962110"/>
    <w:multiLevelType w:val="multilevel"/>
    <w:tmpl w:val="2A30C40A"/>
    <w:lvl w:ilvl="0">
      <w:start w:val="1"/>
      <w:numFmt w:val="decimal"/>
      <w:lvlText w:val="%1."/>
      <w:lvlJc w:val="left"/>
      <w:pPr>
        <w:ind w:left="360" w:hanging="360"/>
      </w:pPr>
    </w:lvl>
    <w:lvl w:ilvl="1">
      <w:start w:val="1"/>
      <w:numFmt w:val="decimal"/>
      <w:isLgl/>
      <w:lvlText w:val="%1.%2."/>
      <w:lvlJc w:val="left"/>
      <w:pPr>
        <w:ind w:left="360" w:hanging="360"/>
      </w:pPr>
      <w:rPr>
        <w:rFonts w:hint="default"/>
        <w:b w:val="0"/>
        <w:i/>
        <w:color w:val="000000"/>
        <w:sz w:val="22"/>
      </w:rPr>
    </w:lvl>
    <w:lvl w:ilvl="2">
      <w:start w:val="1"/>
      <w:numFmt w:val="decimal"/>
      <w:isLgl/>
      <w:lvlText w:val="%1.%2.%3."/>
      <w:lvlJc w:val="left"/>
      <w:pPr>
        <w:ind w:left="720" w:hanging="720"/>
      </w:pPr>
      <w:rPr>
        <w:rFonts w:hint="default"/>
        <w:b w:val="0"/>
        <w:i/>
        <w:color w:val="000000"/>
      </w:rPr>
    </w:lvl>
    <w:lvl w:ilvl="3">
      <w:start w:val="1"/>
      <w:numFmt w:val="decimal"/>
      <w:isLgl/>
      <w:lvlText w:val="%1.%2.%3.%4."/>
      <w:lvlJc w:val="left"/>
      <w:pPr>
        <w:ind w:left="720" w:hanging="720"/>
      </w:pPr>
      <w:rPr>
        <w:rFonts w:hint="default"/>
        <w:b w:val="0"/>
        <w:i/>
        <w:color w:val="000000"/>
      </w:rPr>
    </w:lvl>
    <w:lvl w:ilvl="4">
      <w:start w:val="1"/>
      <w:numFmt w:val="decimal"/>
      <w:isLgl/>
      <w:lvlText w:val="%1.%2.%3.%4.%5."/>
      <w:lvlJc w:val="left"/>
      <w:pPr>
        <w:ind w:left="1080" w:hanging="1080"/>
      </w:pPr>
      <w:rPr>
        <w:rFonts w:hint="default"/>
        <w:b w:val="0"/>
        <w:i/>
        <w:color w:val="000000"/>
      </w:rPr>
    </w:lvl>
    <w:lvl w:ilvl="5">
      <w:start w:val="1"/>
      <w:numFmt w:val="decimal"/>
      <w:isLgl/>
      <w:lvlText w:val="%1.%2.%3.%4.%5.%6."/>
      <w:lvlJc w:val="left"/>
      <w:pPr>
        <w:ind w:left="1080" w:hanging="1080"/>
      </w:pPr>
      <w:rPr>
        <w:rFonts w:hint="default"/>
        <w:b w:val="0"/>
        <w:i/>
        <w:color w:val="000000"/>
      </w:rPr>
    </w:lvl>
    <w:lvl w:ilvl="6">
      <w:start w:val="1"/>
      <w:numFmt w:val="decimal"/>
      <w:isLgl/>
      <w:lvlText w:val="%1.%2.%3.%4.%5.%6.%7."/>
      <w:lvlJc w:val="left"/>
      <w:pPr>
        <w:ind w:left="1440" w:hanging="1440"/>
      </w:pPr>
      <w:rPr>
        <w:rFonts w:hint="default"/>
        <w:b w:val="0"/>
        <w:i/>
        <w:color w:val="000000"/>
      </w:rPr>
    </w:lvl>
    <w:lvl w:ilvl="7">
      <w:start w:val="1"/>
      <w:numFmt w:val="decimal"/>
      <w:isLgl/>
      <w:lvlText w:val="%1.%2.%3.%4.%5.%6.%7.%8."/>
      <w:lvlJc w:val="left"/>
      <w:pPr>
        <w:ind w:left="1440" w:hanging="1440"/>
      </w:pPr>
      <w:rPr>
        <w:rFonts w:hint="default"/>
        <w:b w:val="0"/>
        <w:i/>
        <w:color w:val="000000"/>
      </w:rPr>
    </w:lvl>
    <w:lvl w:ilvl="8">
      <w:start w:val="1"/>
      <w:numFmt w:val="decimal"/>
      <w:isLgl/>
      <w:lvlText w:val="%1.%2.%3.%4.%5.%6.%7.%8.%9."/>
      <w:lvlJc w:val="left"/>
      <w:pPr>
        <w:ind w:left="1800" w:hanging="1800"/>
      </w:pPr>
      <w:rPr>
        <w:rFonts w:hint="default"/>
        <w:b w:val="0"/>
        <w:i/>
        <w:color w:val="000000"/>
      </w:rPr>
    </w:lvl>
  </w:abstractNum>
  <w:abstractNum w:abstractNumId="22" w15:restartNumberingAfterBreak="0">
    <w:nsid w:val="387E024A"/>
    <w:multiLevelType w:val="hybridMultilevel"/>
    <w:tmpl w:val="CD1A0F3E"/>
    <w:lvl w:ilvl="0" w:tplc="FA540C68">
      <w:numFmt w:val="bullet"/>
      <w:lvlText w:val="-"/>
      <w:lvlJc w:val="left"/>
      <w:pPr>
        <w:ind w:left="720" w:hanging="360"/>
      </w:pPr>
      <w:rPr>
        <w:rFonts w:ascii="Calibri" w:eastAsiaTheme="minorHAnsi" w:hAnsi="Calibri" w:cstheme="minorBidi" w:hint="default"/>
      </w:rPr>
    </w:lvl>
    <w:lvl w:ilvl="1" w:tplc="100C0001">
      <w:start w:val="1"/>
      <w:numFmt w:val="bullet"/>
      <w:lvlText w:val=""/>
      <w:lvlJc w:val="left"/>
      <w:pPr>
        <w:ind w:left="1440" w:hanging="360"/>
      </w:pPr>
      <w:rPr>
        <w:rFonts w:ascii="Symbol" w:hAnsi="Symbo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411E66D3"/>
    <w:multiLevelType w:val="hybridMultilevel"/>
    <w:tmpl w:val="F878A5D0"/>
    <w:lvl w:ilvl="0" w:tplc="83E086A0">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B903A2"/>
    <w:multiLevelType w:val="hybridMultilevel"/>
    <w:tmpl w:val="1FFEA3C4"/>
    <w:lvl w:ilvl="0" w:tplc="10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4A4B0A"/>
    <w:multiLevelType w:val="hybridMultilevel"/>
    <w:tmpl w:val="26641E74"/>
    <w:lvl w:ilvl="0" w:tplc="100C0001">
      <w:start w:val="1"/>
      <w:numFmt w:val="bullet"/>
      <w:lvlText w:val=""/>
      <w:lvlJc w:val="left"/>
      <w:pPr>
        <w:ind w:left="624" w:hanging="511"/>
      </w:pPr>
      <w:rPr>
        <w:rFonts w:ascii="Symbol" w:hAnsi="Symbol" w:hint="default"/>
      </w:rPr>
    </w:lvl>
    <w:lvl w:ilvl="1" w:tplc="FA540C68">
      <w:numFmt w:val="bullet"/>
      <w:lvlText w:val="-"/>
      <w:lvlJc w:val="left"/>
      <w:pPr>
        <w:ind w:left="1440" w:hanging="360"/>
      </w:pPr>
      <w:rPr>
        <w:rFonts w:ascii="Calibri" w:eastAsiaTheme="minorHAnsi" w:hAnsi="Calibri" w:cstheme="minorBidi"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566C2A44"/>
    <w:multiLevelType w:val="hybridMultilevel"/>
    <w:tmpl w:val="3CCA7BB8"/>
    <w:lvl w:ilvl="0" w:tplc="100C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F9122E"/>
    <w:multiLevelType w:val="hybridMultilevel"/>
    <w:tmpl w:val="387A03A6"/>
    <w:lvl w:ilvl="0" w:tplc="83E086A0">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1E6BE1"/>
    <w:multiLevelType w:val="multilevel"/>
    <w:tmpl w:val="B58425C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sz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603B7AB3"/>
    <w:multiLevelType w:val="hybridMultilevel"/>
    <w:tmpl w:val="6ED07ECA"/>
    <w:lvl w:ilvl="0" w:tplc="DBC23794">
      <w:start w:val="1"/>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047231"/>
    <w:multiLevelType w:val="hybridMultilevel"/>
    <w:tmpl w:val="2A4AD686"/>
    <w:lvl w:ilvl="0" w:tplc="10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6C0F7A"/>
    <w:multiLevelType w:val="hybridMultilevel"/>
    <w:tmpl w:val="B80E8B5E"/>
    <w:lvl w:ilvl="0" w:tplc="100C0003">
      <w:start w:val="1"/>
      <w:numFmt w:val="bullet"/>
      <w:lvlText w:val="o"/>
      <w:lvlJc w:val="left"/>
      <w:pPr>
        <w:ind w:left="720" w:hanging="360"/>
      </w:pPr>
      <w:rPr>
        <w:rFonts w:ascii="Courier New" w:hAnsi="Courier New" w:cs="Courier New" w:hint="default"/>
      </w:rPr>
    </w:lvl>
    <w:lvl w:ilvl="1" w:tplc="FA540C68">
      <w:numFmt w:val="bullet"/>
      <w:lvlText w:val="-"/>
      <w:lvlJc w:val="left"/>
      <w:pPr>
        <w:ind w:left="1440" w:hanging="360"/>
      </w:pPr>
      <w:rPr>
        <w:rFonts w:ascii="Calibri" w:eastAsiaTheme="minorHAnsi" w:hAnsi="Calibri" w:cstheme="minorBidi" w:hint="default"/>
      </w:rPr>
    </w:lvl>
    <w:lvl w:ilvl="2" w:tplc="100C0003">
      <w:start w:val="1"/>
      <w:numFmt w:val="bullet"/>
      <w:lvlText w:val="o"/>
      <w:lvlJc w:val="left"/>
      <w:pPr>
        <w:ind w:left="2160" w:hanging="360"/>
      </w:pPr>
      <w:rPr>
        <w:rFonts w:ascii="Courier New" w:hAnsi="Courier New" w:cs="Courier New"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7972BB1"/>
    <w:multiLevelType w:val="multilevel"/>
    <w:tmpl w:val="637C079C"/>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sz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D335A57"/>
    <w:multiLevelType w:val="multilevel"/>
    <w:tmpl w:val="BA3E7CA4"/>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num w:numId="1" w16cid:durableId="803543047">
    <w:abstractNumId w:val="0"/>
  </w:num>
  <w:num w:numId="2" w16cid:durableId="1375470422">
    <w:abstractNumId w:val="10"/>
  </w:num>
  <w:num w:numId="3" w16cid:durableId="551890386">
    <w:abstractNumId w:val="21"/>
  </w:num>
  <w:num w:numId="4" w16cid:durableId="673529727">
    <w:abstractNumId w:val="32"/>
  </w:num>
  <w:num w:numId="5" w16cid:durableId="554507308">
    <w:abstractNumId w:val="28"/>
  </w:num>
  <w:num w:numId="6" w16cid:durableId="868882528">
    <w:abstractNumId w:val="7"/>
  </w:num>
  <w:num w:numId="7" w16cid:durableId="1079400744">
    <w:abstractNumId w:val="19"/>
  </w:num>
  <w:num w:numId="8" w16cid:durableId="615525328">
    <w:abstractNumId w:val="29"/>
  </w:num>
  <w:num w:numId="9" w16cid:durableId="1367826088">
    <w:abstractNumId w:val="12"/>
  </w:num>
  <w:num w:numId="10" w16cid:durableId="1523590940">
    <w:abstractNumId w:val="30"/>
  </w:num>
  <w:num w:numId="11" w16cid:durableId="331760385">
    <w:abstractNumId w:val="26"/>
  </w:num>
  <w:num w:numId="12" w16cid:durableId="1600334835">
    <w:abstractNumId w:val="4"/>
  </w:num>
  <w:num w:numId="13" w16cid:durableId="887103862">
    <w:abstractNumId w:val="22"/>
  </w:num>
  <w:num w:numId="14" w16cid:durableId="1903783317">
    <w:abstractNumId w:val="31"/>
  </w:num>
  <w:num w:numId="15" w16cid:durableId="1690983342">
    <w:abstractNumId w:val="16"/>
  </w:num>
  <w:num w:numId="16" w16cid:durableId="149028961">
    <w:abstractNumId w:val="25"/>
  </w:num>
  <w:num w:numId="17" w16cid:durableId="741147448">
    <w:abstractNumId w:val="3"/>
  </w:num>
  <w:num w:numId="18" w16cid:durableId="1533103975">
    <w:abstractNumId w:val="1"/>
  </w:num>
  <w:num w:numId="19" w16cid:durableId="1835603845">
    <w:abstractNumId w:val="17"/>
  </w:num>
  <w:num w:numId="20" w16cid:durableId="694188938">
    <w:abstractNumId w:val="13"/>
  </w:num>
  <w:num w:numId="21" w16cid:durableId="1981617609">
    <w:abstractNumId w:val="15"/>
  </w:num>
  <w:num w:numId="22" w16cid:durableId="827553685">
    <w:abstractNumId w:val="24"/>
  </w:num>
  <w:num w:numId="23" w16cid:durableId="1420256231">
    <w:abstractNumId w:val="23"/>
  </w:num>
  <w:num w:numId="24" w16cid:durableId="2012247969">
    <w:abstractNumId w:val="20"/>
  </w:num>
  <w:num w:numId="25" w16cid:durableId="132263012">
    <w:abstractNumId w:val="11"/>
  </w:num>
  <w:num w:numId="26" w16cid:durableId="1091663425">
    <w:abstractNumId w:val="9"/>
  </w:num>
  <w:num w:numId="27" w16cid:durableId="931863790">
    <w:abstractNumId w:val="6"/>
  </w:num>
  <w:num w:numId="28" w16cid:durableId="126435017">
    <w:abstractNumId w:val="2"/>
  </w:num>
  <w:num w:numId="29" w16cid:durableId="994340818">
    <w:abstractNumId w:val="27"/>
  </w:num>
  <w:num w:numId="30" w16cid:durableId="1861893861">
    <w:abstractNumId w:val="18"/>
  </w:num>
  <w:num w:numId="31" w16cid:durableId="851408195">
    <w:abstractNumId w:val="5"/>
  </w:num>
  <w:num w:numId="32" w16cid:durableId="1604728623">
    <w:abstractNumId w:val="33"/>
  </w:num>
  <w:num w:numId="33" w16cid:durableId="1637102429">
    <w:abstractNumId w:val="8"/>
  </w:num>
  <w:num w:numId="34" w16cid:durableId="11087403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B2E"/>
    <w:rsid w:val="00012938"/>
    <w:rsid w:val="000164AA"/>
    <w:rsid w:val="00031DF6"/>
    <w:rsid w:val="00120B2E"/>
    <w:rsid w:val="00183D3B"/>
    <w:rsid w:val="005870EC"/>
    <w:rsid w:val="00610D69"/>
    <w:rsid w:val="0062232E"/>
    <w:rsid w:val="00644059"/>
    <w:rsid w:val="007872C8"/>
    <w:rsid w:val="007B6F7D"/>
    <w:rsid w:val="00866726"/>
    <w:rsid w:val="00870CA3"/>
    <w:rsid w:val="008868B0"/>
    <w:rsid w:val="008B79BA"/>
    <w:rsid w:val="008C7BA9"/>
    <w:rsid w:val="008F0F3B"/>
    <w:rsid w:val="00964F76"/>
    <w:rsid w:val="00A75569"/>
    <w:rsid w:val="00A77555"/>
    <w:rsid w:val="00B73279"/>
    <w:rsid w:val="00B870C5"/>
    <w:rsid w:val="00BB45AC"/>
    <w:rsid w:val="00C25A48"/>
    <w:rsid w:val="00C375D1"/>
    <w:rsid w:val="00C8479A"/>
    <w:rsid w:val="00CC404C"/>
    <w:rsid w:val="00D02119"/>
    <w:rsid w:val="00D66976"/>
    <w:rsid w:val="00D944CE"/>
    <w:rsid w:val="00F0404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FAA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B2E"/>
    <w:pPr>
      <w:ind w:left="720"/>
      <w:contextualSpacing/>
    </w:pPr>
  </w:style>
  <w:style w:type="paragraph" w:customStyle="1" w:styleId="Normal1">
    <w:name w:val="Normal1"/>
    <w:rsid w:val="00120B2E"/>
    <w:pPr>
      <w:spacing w:after="0" w:line="276" w:lineRule="auto"/>
    </w:pPr>
    <w:rPr>
      <w:rFonts w:ascii="Arial" w:eastAsia="Arial" w:hAnsi="Arial" w:cs="Arial"/>
      <w:color w:val="000000"/>
      <w:szCs w:val="20"/>
    </w:rPr>
  </w:style>
  <w:style w:type="table" w:styleId="TableGrid">
    <w:name w:val="Table Grid"/>
    <w:basedOn w:val="TableNormal"/>
    <w:uiPriority w:val="39"/>
    <w:rsid w:val="0012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3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232E"/>
  </w:style>
  <w:style w:type="paragraph" w:styleId="Footer">
    <w:name w:val="footer"/>
    <w:basedOn w:val="Normal"/>
    <w:link w:val="FooterChar"/>
    <w:uiPriority w:val="99"/>
    <w:unhideWhenUsed/>
    <w:rsid w:val="006223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232E"/>
  </w:style>
  <w:style w:type="paragraph" w:styleId="BalloonText">
    <w:name w:val="Balloon Text"/>
    <w:basedOn w:val="Normal"/>
    <w:link w:val="BalloonTextChar"/>
    <w:uiPriority w:val="99"/>
    <w:semiHidden/>
    <w:unhideWhenUsed/>
    <w:rsid w:val="00C37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RCIMP_Country_H xmlns="71402401-ee9a-4cfa-82a8-ebbd88d5d766">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Period_x0020_start xmlns="a8a2af44-4b8d-404b-a8bd-4186350a523c">2023-05-09T18:00:00+00:00</Period_x0020_start>
    <TaxCatchAll xmlns="a8a2af44-4b8d-404b-a8bd-4186350a523c">
      <Value>4</Value>
      <Value>31</Value>
      <Value>2</Value>
      <Value>1</Value>
      <Value>3</Value>
    </TaxCatchAll>
    <ICRCIMP_DocumentType_H xmlns="71402401-ee9a-4cfa-82a8-ebbd88d5d766">
      <Terms xmlns="http://schemas.microsoft.com/office/infopath/2007/PartnerControls"/>
    </ICRCIMP_DocumentType_H>
    <ICRCIMP_IHT_H xmlns="71402401-ee9a-4cfa-82a8-ebbd88d5d766">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IsIntranet xmlns="a8a2af44-4b8d-404b-a8bd-4186350a523c">false</IsIntranet>
    <ICRCIMP_BusinessFunction_H xmlns="71402401-ee9a-4cfa-82a8-ebbd88d5d766">
      <Terms xmlns="http://schemas.microsoft.com/office/infopath/2007/PartnerControls">
        <TermInfo xmlns="http://schemas.microsoft.com/office/infopath/2007/PartnerControls">
          <TermName xmlns="http://schemas.microsoft.com/office/infopath/2007/PartnerControls">Assistance</TermName>
          <TermId xmlns="http://schemas.microsoft.com/office/infopath/2007/PartnerControls">9015aaae-65d7-4217-8889-581aaffe05a3</TermId>
        </TermInfo>
      </Terms>
    </ICRCIMP_BusinessFunction_H>
    <pe3ed4b1638e49a0a22b56e84a30773f xmlns="775538c5-eb89-48ba-a372-0acd5d6f1291">
      <Terms xmlns="http://schemas.microsoft.com/office/infopath/2007/PartnerControls">
        <TermInfo xmlns="http://schemas.microsoft.com/office/infopath/2007/PartnerControls">
          <TermName xmlns="http://schemas.microsoft.com/office/infopath/2007/PartnerControls">- No key issue</TermName>
          <TermId xmlns="http://schemas.microsoft.com/office/infopath/2007/PartnerControls">32056555-74b8-4174-9beb-b0d6d010855f</TermId>
        </TermInfo>
      </Terms>
    </pe3ed4b1638e49a0a22b56e84a30773f>
    <ICRCIMP_RMIdentifier xmlns="71402401-ee9a-4cfa-82a8-ebbd88d5d766" xsi:nil="true"/>
    <RatingCount xmlns="http://schemas.microsoft.com/sharepoint/v3" xsi:nil="true"/>
    <ICRCIMP_IsRecord xmlns="71402401-ee9a-4cfa-82a8-ebbd88d5d766">true</ICRCIMP_IsRecord>
    <ICRCIMP_RMTransfer xmlns="71402401-ee9a-4cfa-82a8-ebbd88d5d766">
      <Url xsi:nil="true"/>
      <Description xsi:nil="true"/>
    </ICRCIMP_RMTransfer>
    <ICRCIMP_Keyword_H xmlns="71402401-ee9a-4cfa-82a8-ebbd88d5d766">
      <Terms xmlns="http://schemas.microsoft.com/office/infopath/2007/PartnerControls"/>
    </ICRCIMP_Keyword_H>
    <ICRCIMP_OrganizationalAccronym_H xmlns="71402401-ee9a-4cfa-82a8-ebbd88d5d766">
      <Terms xmlns="http://schemas.microsoft.com/office/infopath/2007/PartnerControls"/>
    </ICRCIMP_OrganizationalAccronym_H>
    <AverageRating xmlns="http://schemas.microsoft.com/sharepoint/v3" xsi:nil="true"/>
    <h205814a13eb4c68bb83316f6dea6ef2 xmlns="71402401-ee9a-4cfa-82a8-ebbd88d5d766">
      <Terms xmlns="http://schemas.microsoft.com/office/infopath/2007/PartnerControls"/>
    </h205814a13eb4c68bb83316f6dea6ef2>
    <ICRCIMP_IsFocus xmlns="71402401-ee9a-4cfa-82a8-ebbd88d5d766">false</ICRCIMP_IsFocus>
    <Period_x0020_end xmlns="a8a2af44-4b8d-404b-a8bd-4186350a523c" xsi:nil="true"/>
    <ICRCIMP_RMUnitInCharge_H xmlns="71402401-ee9a-4cfa-82a8-ebbd88d5d766">
      <Terms xmlns="http://schemas.microsoft.com/office/infopath/2007/PartnerControls">
        <TermInfo xmlns="http://schemas.microsoft.com/office/infopath/2007/PartnerControls">
          <TermName xmlns="http://schemas.microsoft.com/office/infopath/2007/PartnerControls">GVA_OP_ASSIST_HELP</TermName>
          <TermId xmlns="http://schemas.microsoft.com/office/infopath/2007/PartnerControls">c53394dc-0df0-45c5-8220-3bdc97c5e4ad</TermId>
        </TermInfo>
      </Terms>
    </ICRCIMP_RMUnitInCharge_H>
    <_dlc_DocId xmlns="a8a2af44-4b8d-404b-a8bd-4186350a523c">TSASSIST-19-3352</_dlc_DocId>
    <_dlc_DocIdUrl xmlns="a8a2af44-4b8d-404b-a8bd-4186350a523c">
      <Url>https://collab.ext.icrc.org/sites/TS_ASSIST/_layouts/15/DocIdRedir.aspx?ID=TSASSIST-19-3352</Url>
      <Description>TSASSIST-19-3352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0A8DC57427FE8447B6BC7D6E7F551E9D" ma:contentTypeVersion="59" ma:contentTypeDescription="Upload Form" ma:contentTypeScope="" ma:versionID="af942c23399e2bbf09343e682b64174d">
  <xsd:schema xmlns:xsd="http://www.w3.org/2001/XMLSchema" xmlns:xs="http://www.w3.org/2001/XMLSchema" xmlns:p="http://schemas.microsoft.com/office/2006/metadata/properties" xmlns:ns1="http://schemas.microsoft.com/sharepoint/v3" xmlns:ns2="71402401-ee9a-4cfa-82a8-ebbd88d5d766" xmlns:ns3="a8a2af44-4b8d-404b-a8bd-4186350a523c" xmlns:ns4="775538c5-eb89-48ba-a372-0acd5d6f1291" targetNamespace="http://schemas.microsoft.com/office/2006/metadata/properties" ma:root="true" ma:fieldsID="9eefc4f65a2f985d9d7f7f4fa1d65849" ns1:_="" ns2:_="" ns3:_="" ns4:_="">
    <xsd:import namespace="http://schemas.microsoft.com/sharepoint/v3"/>
    <xsd:import namespace="71402401-ee9a-4cfa-82a8-ebbd88d5d766"/>
    <xsd:import namespace="a8a2af44-4b8d-404b-a8bd-4186350a523c"/>
    <xsd:import namespace="775538c5-eb89-48ba-a372-0acd5d6f1291"/>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4:pe3ed4b1638e49a0a22b56e84a30773f" minOccurs="0"/>
                <xsd:element ref="ns2:h205814a13eb4c68bb83316f6dea6e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1402401-ee9a-4cfa-82a8-ebbd88d5d766"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h205814a13eb4c68bb83316f6dea6ef2" ma:index="38" nillable="true" ma:taxonomy="true" ma:internalName="h205814a13eb4c68bb83316f6dea6ef2" ma:taxonomyFieldName="ICRCIMP_KeyIssue" ma:displayName="Key Issue" ma:fieldId="{1205814a-13eb-4c68-bb83-316f6dea6ef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bb80481a-0eda-4050-92b4-209d87b2a08d}" ma:internalName="TaxCatchAll" ma:showField="CatchAllData" ma:web="71402401-ee9a-4cfa-82a8-ebbd88d5d766">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bb80481a-0eda-4050-92b4-209d87b2a08d}" ma:internalName="TaxCatchAllLabel" ma:readOnly="true" ma:showField="CatchAllDataLabel" ma:web="71402401-ee9a-4cfa-82a8-ebbd88d5d766">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538c5-eb89-48ba-a372-0acd5d6f1291" elementFormDefault="qualified">
    <xsd:import namespace="http://schemas.microsoft.com/office/2006/documentManagement/types"/>
    <xsd:import namespace="http://schemas.microsoft.com/office/infopath/2007/PartnerControls"/>
    <xsd:element name="pe3ed4b1638e49a0a22b56e84a30773f" ma:index="36" nillable="true" ma:taxonomy="true" ma:internalName="pe3ed4b1638e49a0a22b56e84a30773f" ma:taxonomyFieldName="Key_x0020_Issue" ma:displayName="Key Issue" ma:default="3;#- No key issue|32056555-74b8-4174-9beb-b0d6d010855f" ma:fieldId="{9e3ed4b1-638e-49a0-a22b-56e84a30773f}"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Props1.xml><?xml version="1.0" encoding="utf-8"?>
<ds:datastoreItem xmlns:ds="http://schemas.openxmlformats.org/officeDocument/2006/customXml" ds:itemID="{4215AA97-1386-4204-A048-84FB8A478813}">
  <ds:schemaRefs>
    <ds:schemaRef ds:uri="http://schemas.microsoft.com/sharepoint/events"/>
  </ds:schemaRefs>
</ds:datastoreItem>
</file>

<file path=customXml/itemProps2.xml><?xml version="1.0" encoding="utf-8"?>
<ds:datastoreItem xmlns:ds="http://schemas.openxmlformats.org/officeDocument/2006/customXml" ds:itemID="{B4D196DA-3202-4CD8-B221-738F54631096}">
  <ds:schemaRefs>
    <ds:schemaRef ds:uri="http://schemas.microsoft.com/sharepoint/v3/contenttype/forms"/>
  </ds:schemaRefs>
</ds:datastoreItem>
</file>

<file path=customXml/itemProps3.xml><?xml version="1.0" encoding="utf-8"?>
<ds:datastoreItem xmlns:ds="http://schemas.openxmlformats.org/officeDocument/2006/customXml" ds:itemID="{417054A0-478D-48BB-B5AC-83E8B2D8B58D}">
  <ds:schemaRefs>
    <ds:schemaRef ds:uri="http://schemas.microsoft.com/office/2006/metadata/properties"/>
    <ds:schemaRef ds:uri="http://schemas.microsoft.com/office/infopath/2007/PartnerControls"/>
    <ds:schemaRef ds:uri="71402401-ee9a-4cfa-82a8-ebbd88d5d766"/>
    <ds:schemaRef ds:uri="a8a2af44-4b8d-404b-a8bd-4186350a523c"/>
    <ds:schemaRef ds:uri="775538c5-eb89-48ba-a372-0acd5d6f1291"/>
    <ds:schemaRef ds:uri="http://schemas.microsoft.com/sharepoint/v3"/>
  </ds:schemaRefs>
</ds:datastoreItem>
</file>

<file path=customXml/itemProps4.xml><?xml version="1.0" encoding="utf-8"?>
<ds:datastoreItem xmlns:ds="http://schemas.openxmlformats.org/officeDocument/2006/customXml" ds:itemID="{556D6BB1-0550-4D0A-A11F-E4BCFEA77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402401-ee9a-4cfa-82a8-ebbd88d5d766"/>
    <ds:schemaRef ds:uri="a8a2af44-4b8d-404b-a8bd-4186350a523c"/>
    <ds:schemaRef ds:uri="775538c5-eb89-48ba-a372-0acd5d6f1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6BACD4-8949-46FC-9BC0-D46ADC24C9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957</Words>
  <Characters>5267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2023-06-05T13:52:00Z</dcterms:created>
  <dcterms:modified xsi:type="dcterms:W3CDTF">2023-06-05T13:52:00Z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0x010100F306B2604BE44180B8B82333BE64DF4E005A5CBB6C53404A16AAEA5338BA523999000A8DC57427FE8447B6BC7D6E7F551E9D</vt:lpwstr>
  </property>
  <property fmtid="{D5CDD505-2E9C-101B-9397-08002B2CF9AE}" pid="3" name="ICRCIMP_RMUnitInCharge">
    <vt:lpwstr>31;#GVA_OP_ASSIST_HELP|c53394dc-0df0-45c5-8220-3bdc97c5e4ad</vt:lpwstr>
  </property>
  <property fmtid="{D5CDD505-2E9C-101B-9397-08002B2CF9AE}" pid="4" name="ICRCIMP_ManageAccess">
    <vt:bool>false</vt:bool>
  </property>
  <property fmtid="{D5CDD505-2E9C-101B-9397-08002B2CF9AE}" pid="5" name="ICRCIMP_OrganizationalUnit">
    <vt:lpwstr/>
  </property>
  <property fmtid="{D5CDD505-2E9C-101B-9397-08002B2CF9AE}" pid="6" name="ICRCIMP_Site_H">
    <vt:lpwstr/>
  </property>
  <property fmtid="{D5CDD505-2E9C-101B-9397-08002B2CF9AE}" pid="7" name="ICRCIMP_Country">
    <vt:lpwstr>2;#No Country|1f55df4f-c103-4303-b974-426a8e7d1d06</vt:lpwstr>
  </property>
  <property fmtid="{D5CDD505-2E9C-101B-9397-08002B2CF9AE}" pid="8" name="ICRCIMP_OrganizationalAccronym">
    <vt:lpwstr/>
  </property>
  <property fmtid="{D5CDD505-2E9C-101B-9397-08002B2CF9AE}" pid="9" name="ICRCIMP_Site">
    <vt:lpwstr/>
  </property>
  <property fmtid="{D5CDD505-2E9C-101B-9397-08002B2CF9AE}" pid="10" name="ICRCIMP_DocumentType">
    <vt:lpwstr/>
  </property>
  <property fmtid="{D5CDD505-2E9C-101B-9397-08002B2CF9AE}" pid="11" name="Key Issue">
    <vt:lpwstr>3;#- No key issue|32056555-74b8-4174-9beb-b0d6d010855f</vt:lpwstr>
  </property>
  <property fmtid="{D5CDD505-2E9C-101B-9397-08002B2CF9AE}" pid="12" name="ICRCIMP_OrganizationalUnit_H">
    <vt:lpwstr/>
  </property>
  <property fmtid="{D5CDD505-2E9C-101B-9397-08002B2CF9AE}" pid="13" name="ICRCIMP_BusinessFunction">
    <vt:lpwstr>1;#Assistance|9015aaae-65d7-4217-8889-581aaffe05a3</vt:lpwstr>
  </property>
  <property fmtid="{D5CDD505-2E9C-101B-9397-08002B2CF9AE}" pid="14" name="ICRCIMP_Keyword">
    <vt:lpwstr/>
  </property>
  <property fmtid="{D5CDD505-2E9C-101B-9397-08002B2CF9AE}" pid="15" name="ICRCIMP_KeyIssue">
    <vt:lpwstr/>
  </property>
  <property fmtid="{D5CDD505-2E9C-101B-9397-08002B2CF9AE}" pid="16" name="ICRCIMP_IHT">
    <vt:lpwstr>4;#Internal|23eb6094-56fc-4ad4-8ae2-cf1575a694f0</vt:lpwstr>
  </property>
  <property fmtid="{D5CDD505-2E9C-101B-9397-08002B2CF9AE}" pid="17" name="_dlc_DocIdItemGuid">
    <vt:lpwstr>f937fbf4-dd33-40ec-86c4-a603cfedef7a</vt:lpwstr>
  </property>
</Properties>
</file>