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F0360" w14:textId="77777777" w:rsidR="00EC3902" w:rsidRDefault="00EC3902" w:rsidP="00EC3902">
      <w:pPr>
        <w:jc w:val="center"/>
        <w:rPr>
          <w:b/>
          <w:sz w:val="32"/>
          <w:szCs w:val="32"/>
          <w:u w:val="single"/>
          <w:lang w:val="fr-CH"/>
        </w:rPr>
      </w:pPr>
    </w:p>
    <w:p w14:paraId="0C7119B9" w14:textId="77777777" w:rsidR="002D583D" w:rsidRDefault="009240D3" w:rsidP="00EC3902">
      <w:pPr>
        <w:jc w:val="center"/>
        <w:rPr>
          <w:b/>
          <w:sz w:val="32"/>
          <w:szCs w:val="32"/>
          <w:u w:val="single"/>
        </w:rPr>
      </w:pPr>
      <w:r>
        <w:rPr>
          <w:b/>
          <w:sz w:val="32"/>
          <w:u w:val="single"/>
        </w:rPr>
        <w:t xml:space="preserve">Cours Health Emergencies in Large Populations (H.E.L.P.)  </w:t>
      </w:r>
    </w:p>
    <w:p w14:paraId="69F48940" w14:textId="77777777" w:rsidR="00EC3902" w:rsidRPr="002D583D" w:rsidRDefault="004C3CBA" w:rsidP="00EC3902">
      <w:pPr>
        <w:jc w:val="center"/>
        <w:rPr>
          <w:b/>
          <w:sz w:val="32"/>
          <w:szCs w:val="32"/>
        </w:rPr>
      </w:pPr>
      <w:r>
        <w:rPr>
          <w:b/>
          <w:sz w:val="32"/>
        </w:rPr>
        <w:t xml:space="preserve">Maladies non transmissibles (MNT) </w:t>
      </w:r>
    </w:p>
    <w:p w14:paraId="6542498F" w14:textId="77777777" w:rsidR="00A27045" w:rsidRPr="00EC3902" w:rsidRDefault="00EC3902" w:rsidP="00EC3902">
      <w:pPr>
        <w:jc w:val="center"/>
        <w:rPr>
          <w:color w:val="FF0000"/>
          <w:sz w:val="32"/>
          <w:szCs w:val="32"/>
        </w:rPr>
      </w:pPr>
      <w:r>
        <w:rPr>
          <w:b/>
          <w:color w:val="FF0000"/>
          <w:sz w:val="32"/>
        </w:rPr>
        <w:t>Temps requis : 180 minutes</w:t>
      </w:r>
    </w:p>
    <w:p w14:paraId="3B0CE464" w14:textId="77777777" w:rsidR="00A27045" w:rsidRPr="002D583D" w:rsidRDefault="00A27045">
      <w:pPr>
        <w:rPr>
          <w:lang w:val="en-US"/>
        </w:rPr>
      </w:pPr>
    </w:p>
    <w:tbl>
      <w:tblPr>
        <w:tblStyle w:val="TableGrid"/>
        <w:tblW w:w="0" w:type="auto"/>
        <w:tblLook w:val="04A0" w:firstRow="1" w:lastRow="0" w:firstColumn="1" w:lastColumn="0" w:noHBand="0" w:noVBand="1"/>
      </w:tblPr>
      <w:tblGrid>
        <w:gridCol w:w="3964"/>
        <w:gridCol w:w="3998"/>
        <w:gridCol w:w="5919"/>
      </w:tblGrid>
      <w:tr w:rsidR="00A27045" w:rsidRPr="004343FC" w14:paraId="7FBA378A" w14:textId="77777777" w:rsidTr="0028735E">
        <w:tc>
          <w:tcPr>
            <w:tcW w:w="3964" w:type="dxa"/>
            <w:shd w:val="clear" w:color="auto" w:fill="DEEAF6" w:themeFill="accent1" w:themeFillTint="33"/>
          </w:tcPr>
          <w:p w14:paraId="78A2AA50" w14:textId="77777777" w:rsidR="00A27045" w:rsidRPr="00A76BC2" w:rsidRDefault="00A27045" w:rsidP="005E4B03">
            <w:pPr>
              <w:rPr>
                <w:rFonts w:cstheme="minorHAnsi"/>
                <w:b/>
                <w:sz w:val="24"/>
                <w:szCs w:val="24"/>
              </w:rPr>
            </w:pPr>
            <w:r>
              <w:rPr>
                <w:b/>
                <w:sz w:val="24"/>
              </w:rPr>
              <w:t>Objectifs pédagogiques : ce que les participants doivent être en mesure de faire à l’issue de la formation</w:t>
            </w:r>
          </w:p>
          <w:p w14:paraId="136CC50A" w14:textId="77777777" w:rsidR="00A27045" w:rsidRPr="00A76BC2" w:rsidRDefault="00A27045" w:rsidP="005E4B03">
            <w:pPr>
              <w:autoSpaceDE w:val="0"/>
              <w:autoSpaceDN w:val="0"/>
              <w:adjustRightInd w:val="0"/>
              <w:rPr>
                <w:rFonts w:cstheme="minorHAnsi"/>
                <w:i/>
                <w:sz w:val="24"/>
                <w:szCs w:val="24"/>
              </w:rPr>
            </w:pPr>
          </w:p>
        </w:tc>
        <w:tc>
          <w:tcPr>
            <w:tcW w:w="3998" w:type="dxa"/>
            <w:shd w:val="clear" w:color="auto" w:fill="DEEAF6" w:themeFill="accent1" w:themeFillTint="33"/>
          </w:tcPr>
          <w:p w14:paraId="4ECFBB6B" w14:textId="77777777" w:rsidR="00A27045" w:rsidRPr="00A76BC2" w:rsidRDefault="00A27045" w:rsidP="005E4B03">
            <w:pPr>
              <w:rPr>
                <w:rFonts w:cstheme="minorHAnsi"/>
                <w:b/>
                <w:i/>
                <w:sz w:val="24"/>
                <w:szCs w:val="24"/>
              </w:rPr>
            </w:pPr>
            <w:r>
              <w:rPr>
                <w:b/>
                <w:sz w:val="24"/>
              </w:rPr>
              <w:t xml:space="preserve">Objectifs de mise en œuvre : étapes intermédiaires et complémentaires permettant d’atteindre les objectifs pédagogiques  </w:t>
            </w:r>
          </w:p>
        </w:tc>
        <w:tc>
          <w:tcPr>
            <w:tcW w:w="5919" w:type="dxa"/>
            <w:shd w:val="clear" w:color="auto" w:fill="DEEAF6" w:themeFill="accent1" w:themeFillTint="33"/>
          </w:tcPr>
          <w:p w14:paraId="1255C6D9" w14:textId="77777777" w:rsidR="00A27045" w:rsidRPr="00A76BC2" w:rsidRDefault="00A27045" w:rsidP="005E4B03">
            <w:pPr>
              <w:rPr>
                <w:rFonts w:cstheme="minorHAnsi"/>
                <w:b/>
                <w:sz w:val="24"/>
                <w:szCs w:val="24"/>
              </w:rPr>
            </w:pPr>
            <w:r>
              <w:rPr>
                <w:b/>
                <w:sz w:val="24"/>
              </w:rPr>
              <w:t>Points essentiels / points de référence</w:t>
            </w:r>
          </w:p>
        </w:tc>
      </w:tr>
      <w:tr w:rsidR="0028735E" w:rsidRPr="004343FC" w14:paraId="06564B77" w14:textId="77777777" w:rsidTr="0028735E">
        <w:tc>
          <w:tcPr>
            <w:tcW w:w="3964" w:type="dxa"/>
            <w:vMerge w:val="restart"/>
          </w:tcPr>
          <w:p w14:paraId="25F198A1" w14:textId="77777777" w:rsidR="0028735E" w:rsidRPr="00A76BC2" w:rsidRDefault="0028735E" w:rsidP="005E4B03">
            <w:pPr>
              <w:pStyle w:val="ListParagraph"/>
              <w:numPr>
                <w:ilvl w:val="0"/>
                <w:numId w:val="1"/>
              </w:numPr>
              <w:autoSpaceDE w:val="0"/>
              <w:autoSpaceDN w:val="0"/>
              <w:adjustRightInd w:val="0"/>
              <w:rPr>
                <w:rFonts w:cstheme="minorHAnsi"/>
                <w:b/>
                <w:color w:val="000000" w:themeColor="text1"/>
                <w:sz w:val="24"/>
                <w:szCs w:val="24"/>
              </w:rPr>
            </w:pPr>
            <w:r>
              <w:rPr>
                <w:i/>
                <w:iCs/>
                <w:color w:val="000000" w:themeColor="text1"/>
                <w:sz w:val="24"/>
              </w:rPr>
              <w:t>Les participants sont en mesure</w:t>
            </w:r>
            <w:r>
              <w:rPr>
                <w:color w:val="000000" w:themeColor="text1"/>
                <w:sz w:val="24"/>
              </w:rPr>
              <w:t xml:space="preserve"> d’expliquer l’importance de la gestion des besoins des personnes atteintes de maladies non transmissibles (MNT) dans les crises aiguës et prolongées et les défis associés pour assurer leur traitement et leurs soins. </w:t>
            </w:r>
          </w:p>
          <w:p w14:paraId="407916C1" w14:textId="77777777" w:rsidR="0028735E" w:rsidRPr="00A76BC2" w:rsidRDefault="0028735E" w:rsidP="005E4B03">
            <w:pPr>
              <w:rPr>
                <w:rFonts w:cstheme="minorHAnsi"/>
                <w:sz w:val="24"/>
                <w:szCs w:val="24"/>
                <w:lang w:val="en-US"/>
              </w:rPr>
            </w:pPr>
          </w:p>
        </w:tc>
        <w:tc>
          <w:tcPr>
            <w:tcW w:w="3998" w:type="dxa"/>
          </w:tcPr>
          <w:p w14:paraId="006AC1C9" w14:textId="77777777" w:rsidR="0028735E" w:rsidRPr="00A76BC2" w:rsidRDefault="0028735E" w:rsidP="0016052B">
            <w:pPr>
              <w:pStyle w:val="ListParagraph"/>
              <w:numPr>
                <w:ilvl w:val="1"/>
                <w:numId w:val="1"/>
              </w:numPr>
              <w:ind w:left="360"/>
              <w:rPr>
                <w:rFonts w:cstheme="minorHAnsi"/>
                <w:color w:val="000000" w:themeColor="text1"/>
                <w:sz w:val="24"/>
                <w:szCs w:val="24"/>
              </w:rPr>
            </w:pPr>
            <w:r>
              <w:rPr>
                <w:i/>
                <w:iCs/>
                <w:color w:val="000000" w:themeColor="text1"/>
                <w:sz w:val="24"/>
              </w:rPr>
              <w:t>Les participants sont en mesure</w:t>
            </w:r>
            <w:r>
              <w:rPr>
                <w:color w:val="000000" w:themeColor="text1"/>
                <w:sz w:val="24"/>
              </w:rPr>
              <w:t xml:space="preserve"> de décrire les types de maladies incluses dans le groupe des MNT.</w:t>
            </w:r>
          </w:p>
        </w:tc>
        <w:tc>
          <w:tcPr>
            <w:tcW w:w="5919" w:type="dxa"/>
          </w:tcPr>
          <w:p w14:paraId="1A98DD11" w14:textId="77777777" w:rsidR="0028735E" w:rsidRPr="00A76BC2" w:rsidRDefault="0028735E" w:rsidP="00A27045">
            <w:pPr>
              <w:pStyle w:val="ListParagraph"/>
              <w:numPr>
                <w:ilvl w:val="0"/>
                <w:numId w:val="14"/>
              </w:numPr>
              <w:rPr>
                <w:rFonts w:cstheme="minorHAnsi"/>
                <w:sz w:val="24"/>
                <w:szCs w:val="24"/>
              </w:rPr>
            </w:pPr>
            <w:r>
              <w:rPr>
                <w:sz w:val="24"/>
              </w:rPr>
              <w:t>Identification des MNT</w:t>
            </w:r>
          </w:p>
          <w:p w14:paraId="75658C9F" w14:textId="77777777" w:rsidR="0028735E" w:rsidRPr="00A76BC2" w:rsidRDefault="0028735E" w:rsidP="00A27045">
            <w:pPr>
              <w:pStyle w:val="ListParagraph"/>
              <w:numPr>
                <w:ilvl w:val="0"/>
                <w:numId w:val="14"/>
              </w:numPr>
              <w:rPr>
                <w:rFonts w:cstheme="minorHAnsi"/>
                <w:i/>
                <w:sz w:val="24"/>
                <w:szCs w:val="24"/>
              </w:rPr>
            </w:pPr>
            <w:r>
              <w:rPr>
                <w:sz w:val="24"/>
              </w:rPr>
              <w:t xml:space="preserve">Classification des MNT  </w:t>
            </w:r>
          </w:p>
          <w:p w14:paraId="53D0A4FC" w14:textId="77777777" w:rsidR="0028735E" w:rsidRPr="00A76BC2" w:rsidRDefault="0028735E" w:rsidP="005E4B03">
            <w:pPr>
              <w:rPr>
                <w:rFonts w:cstheme="minorHAnsi"/>
                <w:sz w:val="24"/>
                <w:szCs w:val="24"/>
              </w:rPr>
            </w:pPr>
          </w:p>
        </w:tc>
      </w:tr>
      <w:tr w:rsidR="0028735E" w:rsidRPr="004343FC" w14:paraId="28738395" w14:textId="77777777" w:rsidTr="0028735E">
        <w:tc>
          <w:tcPr>
            <w:tcW w:w="3964" w:type="dxa"/>
            <w:vMerge/>
          </w:tcPr>
          <w:p w14:paraId="3799C7A2" w14:textId="77777777" w:rsidR="0028735E" w:rsidRPr="00A76BC2" w:rsidRDefault="0028735E" w:rsidP="005E4B03">
            <w:pPr>
              <w:rPr>
                <w:rFonts w:cstheme="minorHAnsi"/>
                <w:sz w:val="24"/>
                <w:szCs w:val="24"/>
              </w:rPr>
            </w:pPr>
          </w:p>
        </w:tc>
        <w:tc>
          <w:tcPr>
            <w:tcW w:w="3998" w:type="dxa"/>
          </w:tcPr>
          <w:p w14:paraId="218C5C8F" w14:textId="77777777" w:rsidR="0028735E" w:rsidRPr="00A76BC2" w:rsidRDefault="0028735E" w:rsidP="0016052B">
            <w:pPr>
              <w:pStyle w:val="ListParagraph"/>
              <w:numPr>
                <w:ilvl w:val="1"/>
                <w:numId w:val="1"/>
              </w:numPr>
              <w:ind w:left="360"/>
              <w:rPr>
                <w:rFonts w:cstheme="minorHAnsi"/>
                <w:i/>
                <w:color w:val="000000" w:themeColor="text1"/>
                <w:sz w:val="24"/>
                <w:szCs w:val="24"/>
              </w:rPr>
            </w:pPr>
            <w:r>
              <w:rPr>
                <w:i/>
                <w:iCs/>
                <w:color w:val="000000" w:themeColor="text1"/>
                <w:sz w:val="24"/>
              </w:rPr>
              <w:t>Les participants sont en mesure</w:t>
            </w:r>
            <w:r>
              <w:rPr>
                <w:color w:val="000000" w:themeColor="text1"/>
                <w:sz w:val="24"/>
              </w:rPr>
              <w:t xml:space="preserve"> d’expliquer les caractéristiques clés des MNT et leurs différences avec les maladies transmissibles (MT).</w:t>
            </w:r>
          </w:p>
        </w:tc>
        <w:tc>
          <w:tcPr>
            <w:tcW w:w="5919" w:type="dxa"/>
          </w:tcPr>
          <w:p w14:paraId="20C79119" w14:textId="77777777" w:rsidR="0028735E" w:rsidRPr="00A76BC2" w:rsidRDefault="0028735E" w:rsidP="0028735E">
            <w:pPr>
              <w:pStyle w:val="ListParagraph"/>
              <w:numPr>
                <w:ilvl w:val="0"/>
                <w:numId w:val="29"/>
              </w:numPr>
              <w:spacing w:line="276" w:lineRule="auto"/>
              <w:ind w:left="360"/>
              <w:rPr>
                <w:rFonts w:cstheme="minorHAnsi"/>
                <w:sz w:val="24"/>
                <w:szCs w:val="24"/>
              </w:rPr>
            </w:pPr>
            <w:r>
              <w:rPr>
                <w:sz w:val="24"/>
              </w:rPr>
              <w:t xml:space="preserve">Caractéristiques des MNT </w:t>
            </w:r>
          </w:p>
          <w:p w14:paraId="231639EF" w14:textId="77777777" w:rsidR="0028735E" w:rsidRPr="00FB4E57" w:rsidRDefault="0028735E" w:rsidP="00EC3902">
            <w:pPr>
              <w:pStyle w:val="ListParagraph"/>
              <w:numPr>
                <w:ilvl w:val="0"/>
                <w:numId w:val="33"/>
              </w:numPr>
              <w:spacing w:line="276" w:lineRule="auto"/>
              <w:ind w:left="757"/>
              <w:rPr>
                <w:rFonts w:cstheme="minorHAnsi"/>
                <w:sz w:val="24"/>
                <w:szCs w:val="24"/>
              </w:rPr>
            </w:pPr>
            <w:r>
              <w:rPr>
                <w:sz w:val="24"/>
              </w:rPr>
              <w:t xml:space="preserve">Étiologie complexe et multiples facteurs de risque </w:t>
            </w:r>
          </w:p>
          <w:p w14:paraId="26B9551A" w14:textId="77777777" w:rsidR="0028735E" w:rsidRPr="00A76BC2" w:rsidRDefault="0028735E" w:rsidP="00EC3902">
            <w:pPr>
              <w:pStyle w:val="ListParagraph"/>
              <w:numPr>
                <w:ilvl w:val="0"/>
                <w:numId w:val="33"/>
              </w:numPr>
              <w:spacing w:line="276" w:lineRule="auto"/>
              <w:ind w:left="757"/>
              <w:rPr>
                <w:rFonts w:cstheme="minorHAnsi"/>
                <w:sz w:val="24"/>
                <w:szCs w:val="24"/>
              </w:rPr>
            </w:pPr>
            <w:r>
              <w:rPr>
                <w:sz w:val="24"/>
              </w:rPr>
              <w:t>Durée généralement longue/à vie ; progression souvent lente avec une continuité allant du risque de MNT à la présence de MNT puis à la présence de MNT avec complications et décès.</w:t>
            </w:r>
          </w:p>
          <w:p w14:paraId="2F0280AA" w14:textId="77777777" w:rsidR="0028735E" w:rsidRPr="00A76BC2" w:rsidRDefault="0028735E" w:rsidP="00EC3902">
            <w:pPr>
              <w:pStyle w:val="ListParagraph"/>
              <w:numPr>
                <w:ilvl w:val="0"/>
                <w:numId w:val="33"/>
              </w:numPr>
              <w:ind w:left="757"/>
              <w:rPr>
                <w:rFonts w:cstheme="minorHAnsi"/>
                <w:color w:val="0000FF"/>
                <w:sz w:val="24"/>
                <w:szCs w:val="24"/>
              </w:rPr>
            </w:pPr>
            <w:r>
              <w:rPr>
                <w:sz w:val="24"/>
              </w:rPr>
              <w:t xml:space="preserve">Besoin de continuité des soins au fil du temps et à différents niveaux de soins ; besoin de coordination et de suivi/d’intégration à travers différents niveaux de soins </w:t>
            </w:r>
            <w:r>
              <w:rPr>
                <w:color w:val="0000FF"/>
                <w:sz w:val="24"/>
              </w:rPr>
              <w:t>– voir module « Services de santé »</w:t>
            </w:r>
          </w:p>
          <w:p w14:paraId="0E0ED8C5" w14:textId="77777777" w:rsidR="0028735E" w:rsidRPr="00A76BC2" w:rsidRDefault="0028735E" w:rsidP="00EC3902">
            <w:pPr>
              <w:pStyle w:val="ListParagraph"/>
              <w:numPr>
                <w:ilvl w:val="0"/>
                <w:numId w:val="33"/>
              </w:numPr>
              <w:ind w:left="757"/>
              <w:rPr>
                <w:rFonts w:cstheme="minorHAnsi"/>
                <w:sz w:val="24"/>
                <w:szCs w:val="24"/>
              </w:rPr>
            </w:pPr>
            <w:r>
              <w:rPr>
                <w:sz w:val="24"/>
              </w:rPr>
              <w:lastRenderedPageBreak/>
              <w:t>La coordination des soins pour les patients atteints de MNT dépasse le cadre des services de santé, p. ex. nutrition</w:t>
            </w:r>
          </w:p>
          <w:p w14:paraId="6A9EBD54" w14:textId="77777777" w:rsidR="0028735E" w:rsidRPr="00A76BC2" w:rsidRDefault="0028735E" w:rsidP="00EC3902">
            <w:pPr>
              <w:pStyle w:val="ListParagraph"/>
              <w:numPr>
                <w:ilvl w:val="0"/>
                <w:numId w:val="33"/>
              </w:numPr>
              <w:ind w:left="757"/>
              <w:rPr>
                <w:rFonts w:cstheme="minorHAnsi"/>
                <w:sz w:val="24"/>
                <w:szCs w:val="24"/>
              </w:rPr>
            </w:pPr>
            <w:r>
              <w:rPr>
                <w:sz w:val="24"/>
              </w:rPr>
              <w:t>Certains patients atteints de MNT nécessitent des soins palliatifs</w:t>
            </w:r>
          </w:p>
          <w:p w14:paraId="66D22F75" w14:textId="77777777" w:rsidR="0028735E" w:rsidRPr="00A76BC2" w:rsidRDefault="0028735E" w:rsidP="0028735E">
            <w:pPr>
              <w:pStyle w:val="ListParagraph"/>
              <w:numPr>
                <w:ilvl w:val="0"/>
                <w:numId w:val="31"/>
              </w:numPr>
              <w:ind w:left="360"/>
              <w:rPr>
                <w:rFonts w:cstheme="minorHAnsi"/>
                <w:sz w:val="24"/>
                <w:szCs w:val="24"/>
              </w:rPr>
            </w:pPr>
            <w:r>
              <w:rPr>
                <w:color w:val="000000" w:themeColor="text1"/>
                <w:sz w:val="24"/>
              </w:rPr>
              <w:t>Différences entre les MNT et les MT</w:t>
            </w:r>
          </w:p>
        </w:tc>
      </w:tr>
      <w:tr w:rsidR="0028735E" w:rsidRPr="004343FC" w14:paraId="502E7496" w14:textId="77777777" w:rsidTr="0028735E">
        <w:tc>
          <w:tcPr>
            <w:tcW w:w="3964" w:type="dxa"/>
            <w:vMerge/>
          </w:tcPr>
          <w:p w14:paraId="728BAA11" w14:textId="77777777" w:rsidR="0028735E" w:rsidRPr="00A76BC2" w:rsidRDefault="0028735E" w:rsidP="005E4B03">
            <w:pPr>
              <w:rPr>
                <w:rFonts w:cstheme="minorHAnsi"/>
                <w:sz w:val="24"/>
                <w:szCs w:val="24"/>
              </w:rPr>
            </w:pPr>
          </w:p>
        </w:tc>
        <w:tc>
          <w:tcPr>
            <w:tcW w:w="3998" w:type="dxa"/>
          </w:tcPr>
          <w:p w14:paraId="73083E31" w14:textId="77777777" w:rsidR="0028735E" w:rsidRPr="00A76BC2" w:rsidRDefault="0028735E" w:rsidP="0016052B">
            <w:pPr>
              <w:pStyle w:val="ListParagraph"/>
              <w:numPr>
                <w:ilvl w:val="1"/>
                <w:numId w:val="1"/>
              </w:numPr>
              <w:ind w:left="360"/>
              <w:rPr>
                <w:rFonts w:cstheme="minorHAnsi"/>
                <w:i/>
                <w:color w:val="000000" w:themeColor="text1"/>
                <w:sz w:val="24"/>
                <w:szCs w:val="24"/>
              </w:rPr>
            </w:pPr>
            <w:r>
              <w:rPr>
                <w:i/>
                <w:iCs/>
                <w:color w:val="000000" w:themeColor="text1"/>
                <w:sz w:val="24"/>
              </w:rPr>
              <w:t>Les participants sont en mesure</w:t>
            </w:r>
            <w:r>
              <w:rPr>
                <w:color w:val="000000" w:themeColor="text1"/>
                <w:sz w:val="24"/>
              </w:rPr>
              <w:t xml:space="preserve"> de décrire la prévalence générale et la mortalité des MNT et la manière dont elles sont affectées par les situations de crise.</w:t>
            </w:r>
          </w:p>
        </w:tc>
        <w:tc>
          <w:tcPr>
            <w:tcW w:w="5919" w:type="dxa"/>
          </w:tcPr>
          <w:p w14:paraId="1E46CCEC" w14:textId="77777777" w:rsidR="0028735E" w:rsidRPr="00A76BC2" w:rsidRDefault="0028735E" w:rsidP="00A27045">
            <w:pPr>
              <w:pStyle w:val="ListParagraph"/>
              <w:numPr>
                <w:ilvl w:val="0"/>
                <w:numId w:val="16"/>
              </w:numPr>
              <w:spacing w:line="276" w:lineRule="auto"/>
              <w:rPr>
                <w:rFonts w:cstheme="minorHAnsi"/>
                <w:sz w:val="24"/>
                <w:szCs w:val="24"/>
              </w:rPr>
            </w:pPr>
            <w:r>
              <w:rPr>
                <w:sz w:val="24"/>
              </w:rPr>
              <w:t xml:space="preserve">Fardeau des MNT dans le monde (général) et pour des régions spécifiques  </w:t>
            </w:r>
          </w:p>
          <w:p w14:paraId="1D303B99" w14:textId="77777777" w:rsidR="0028735E" w:rsidRPr="00A76BC2" w:rsidRDefault="0028735E" w:rsidP="00EC3902">
            <w:pPr>
              <w:pStyle w:val="ListParagraph"/>
              <w:numPr>
                <w:ilvl w:val="1"/>
                <w:numId w:val="34"/>
              </w:numPr>
              <w:spacing w:line="276" w:lineRule="auto"/>
              <w:ind w:left="757"/>
              <w:rPr>
                <w:rFonts w:cstheme="minorHAnsi"/>
                <w:sz w:val="24"/>
                <w:szCs w:val="24"/>
              </w:rPr>
            </w:pPr>
            <w:r>
              <w:rPr>
                <w:sz w:val="24"/>
              </w:rPr>
              <w:t>Prévalence, tendances de mortalité</w:t>
            </w:r>
          </w:p>
          <w:p w14:paraId="5E6B2975" w14:textId="77777777" w:rsidR="0028735E" w:rsidRPr="00A76BC2" w:rsidRDefault="0028735E" w:rsidP="00EC3902">
            <w:pPr>
              <w:pStyle w:val="ListParagraph"/>
              <w:numPr>
                <w:ilvl w:val="1"/>
                <w:numId w:val="34"/>
              </w:numPr>
              <w:spacing w:line="276" w:lineRule="auto"/>
              <w:ind w:left="757"/>
              <w:rPr>
                <w:rFonts w:cstheme="minorHAnsi"/>
                <w:sz w:val="24"/>
                <w:szCs w:val="24"/>
              </w:rPr>
            </w:pPr>
            <w:r>
              <w:rPr>
                <w:sz w:val="24"/>
              </w:rPr>
              <w:t>Transition épidémiologique</w:t>
            </w:r>
          </w:p>
          <w:p w14:paraId="50225547" w14:textId="77777777" w:rsidR="0028735E" w:rsidRPr="00A76BC2" w:rsidRDefault="0028735E" w:rsidP="00EC3902">
            <w:pPr>
              <w:pStyle w:val="ListParagraph"/>
              <w:numPr>
                <w:ilvl w:val="1"/>
                <w:numId w:val="34"/>
              </w:numPr>
              <w:spacing w:line="276" w:lineRule="auto"/>
              <w:ind w:left="757"/>
              <w:rPr>
                <w:rFonts w:cstheme="minorHAnsi"/>
                <w:sz w:val="24"/>
                <w:szCs w:val="24"/>
              </w:rPr>
            </w:pPr>
            <w:r>
              <w:rPr>
                <w:sz w:val="24"/>
              </w:rPr>
              <w:t xml:space="preserve">Effets des situations de crise (exemples) </w:t>
            </w:r>
          </w:p>
        </w:tc>
      </w:tr>
      <w:tr w:rsidR="0028735E" w:rsidRPr="004343FC" w14:paraId="00BB4FE7" w14:textId="77777777" w:rsidTr="0028735E">
        <w:tc>
          <w:tcPr>
            <w:tcW w:w="3964" w:type="dxa"/>
            <w:vMerge/>
          </w:tcPr>
          <w:p w14:paraId="213B78A2" w14:textId="77777777" w:rsidR="0028735E" w:rsidRPr="00A76BC2" w:rsidRDefault="0028735E" w:rsidP="005E4B03">
            <w:pPr>
              <w:rPr>
                <w:rFonts w:cstheme="minorHAnsi"/>
                <w:sz w:val="24"/>
                <w:szCs w:val="24"/>
              </w:rPr>
            </w:pPr>
          </w:p>
        </w:tc>
        <w:tc>
          <w:tcPr>
            <w:tcW w:w="3998" w:type="dxa"/>
          </w:tcPr>
          <w:p w14:paraId="018FA60A" w14:textId="77777777" w:rsidR="0028735E" w:rsidRPr="00A76BC2" w:rsidRDefault="0028735E" w:rsidP="0016052B">
            <w:pPr>
              <w:pStyle w:val="ListParagraph"/>
              <w:numPr>
                <w:ilvl w:val="1"/>
                <w:numId w:val="1"/>
              </w:numPr>
              <w:ind w:left="360"/>
              <w:rPr>
                <w:rFonts w:cstheme="minorHAnsi"/>
                <w:i/>
                <w:color w:val="000000" w:themeColor="text1"/>
                <w:sz w:val="24"/>
                <w:szCs w:val="24"/>
              </w:rPr>
            </w:pPr>
            <w:r>
              <w:rPr>
                <w:i/>
                <w:iCs/>
                <w:color w:val="000000" w:themeColor="text1"/>
                <w:sz w:val="24"/>
              </w:rPr>
              <w:t>Les participants sont en mesure</w:t>
            </w:r>
            <w:r>
              <w:rPr>
                <w:color w:val="000000" w:themeColor="text1"/>
                <w:sz w:val="24"/>
              </w:rPr>
              <w:t xml:space="preserve"> d’expliquer de quelles manières une crise peut aggraver la santé des personnes atteintes de MNT.</w:t>
            </w:r>
          </w:p>
        </w:tc>
        <w:tc>
          <w:tcPr>
            <w:tcW w:w="5919" w:type="dxa"/>
          </w:tcPr>
          <w:p w14:paraId="7EE1702C" w14:textId="77777777" w:rsidR="0028735E" w:rsidRPr="00A76BC2" w:rsidRDefault="0028735E" w:rsidP="00A27045">
            <w:pPr>
              <w:pStyle w:val="ListParagraph"/>
              <w:numPr>
                <w:ilvl w:val="0"/>
                <w:numId w:val="17"/>
              </w:numPr>
              <w:rPr>
                <w:rFonts w:cstheme="minorHAnsi"/>
                <w:sz w:val="24"/>
                <w:szCs w:val="24"/>
              </w:rPr>
            </w:pPr>
            <w:r>
              <w:rPr>
                <w:sz w:val="24"/>
              </w:rPr>
              <w:t xml:space="preserve">Risque de complications lors de situations de crise </w:t>
            </w:r>
          </w:p>
          <w:p w14:paraId="29993E13" w14:textId="77777777" w:rsidR="0028735E" w:rsidRPr="00A76BC2" w:rsidRDefault="0028735E" w:rsidP="00EC3902">
            <w:pPr>
              <w:pStyle w:val="ListParagraph"/>
              <w:numPr>
                <w:ilvl w:val="1"/>
                <w:numId w:val="35"/>
              </w:numPr>
              <w:ind w:left="757"/>
              <w:rPr>
                <w:rFonts w:cstheme="minorHAnsi"/>
                <w:sz w:val="24"/>
                <w:szCs w:val="24"/>
              </w:rPr>
            </w:pPr>
            <w:r>
              <w:rPr>
                <w:sz w:val="24"/>
              </w:rPr>
              <w:t xml:space="preserve">Impact du stress sur la santé des patients atteints de MNT </w:t>
            </w:r>
            <w:r>
              <w:rPr>
                <w:i/>
                <w:iCs/>
                <w:sz w:val="24"/>
              </w:rPr>
              <w:t>(p. ex., insécurité, dégradation des conditions de vie et de la nutrition, déplacement)</w:t>
            </w:r>
          </w:p>
          <w:p w14:paraId="76EF281B" w14:textId="77777777" w:rsidR="0028735E" w:rsidRPr="00A76BC2" w:rsidRDefault="0028735E" w:rsidP="00EC3902">
            <w:pPr>
              <w:pStyle w:val="ListParagraph"/>
              <w:numPr>
                <w:ilvl w:val="1"/>
                <w:numId w:val="35"/>
              </w:numPr>
              <w:spacing w:line="276" w:lineRule="auto"/>
              <w:ind w:left="757"/>
              <w:rPr>
                <w:rFonts w:cstheme="minorHAnsi"/>
                <w:sz w:val="24"/>
                <w:szCs w:val="24"/>
              </w:rPr>
            </w:pPr>
            <w:r>
              <w:rPr>
                <w:sz w:val="24"/>
              </w:rPr>
              <w:t>Perte par les patients de médicaments, de prescriptions, de matériel et/ou de dispositifs médicaux</w:t>
            </w:r>
          </w:p>
          <w:p w14:paraId="4FE27F68" w14:textId="77777777" w:rsidR="0028735E" w:rsidRPr="00A76BC2" w:rsidRDefault="0028735E" w:rsidP="00A24279">
            <w:pPr>
              <w:pStyle w:val="ListParagraph"/>
              <w:numPr>
                <w:ilvl w:val="0"/>
                <w:numId w:val="17"/>
              </w:numPr>
              <w:rPr>
                <w:rFonts w:cstheme="minorHAnsi"/>
                <w:sz w:val="24"/>
                <w:szCs w:val="24"/>
              </w:rPr>
            </w:pPr>
            <w:r>
              <w:rPr>
                <w:sz w:val="24"/>
              </w:rPr>
              <w:t xml:space="preserve">Effets des situations de crise sur le traitement et les soins </w:t>
            </w:r>
          </w:p>
          <w:p w14:paraId="3F3E8C54" w14:textId="77777777" w:rsidR="0028735E" w:rsidRPr="00A76BC2" w:rsidRDefault="0028735E" w:rsidP="00EC3902">
            <w:pPr>
              <w:pStyle w:val="ListParagraph"/>
              <w:numPr>
                <w:ilvl w:val="1"/>
                <w:numId w:val="36"/>
              </w:numPr>
              <w:ind w:left="757"/>
              <w:rPr>
                <w:rFonts w:cstheme="minorHAnsi"/>
                <w:sz w:val="24"/>
                <w:szCs w:val="24"/>
              </w:rPr>
            </w:pPr>
            <w:r>
              <w:rPr>
                <w:sz w:val="24"/>
              </w:rPr>
              <w:t xml:space="preserve">Interruption des soins des patients atteints de MNT en raison de la pression exercée sur les services de santé </w:t>
            </w:r>
            <w:r>
              <w:rPr>
                <w:i/>
                <w:iCs/>
                <w:sz w:val="24"/>
              </w:rPr>
              <w:t>(p. ex. surcharge des services existants, destruction des infrastructures, perte de ressources humaines et de fournitures médicales)</w:t>
            </w:r>
            <w:r>
              <w:rPr>
                <w:i/>
                <w:sz w:val="24"/>
              </w:rPr>
              <w:t xml:space="preserve"> </w:t>
            </w:r>
          </w:p>
          <w:p w14:paraId="5D9A3A4C" w14:textId="77777777" w:rsidR="0028735E" w:rsidRPr="00A76BC2" w:rsidRDefault="0028735E" w:rsidP="00EC3902">
            <w:pPr>
              <w:pStyle w:val="ListParagraph"/>
              <w:numPr>
                <w:ilvl w:val="1"/>
                <w:numId w:val="36"/>
              </w:numPr>
              <w:spacing w:line="276" w:lineRule="auto"/>
              <w:ind w:left="757"/>
              <w:rPr>
                <w:rFonts w:cstheme="minorHAnsi"/>
                <w:sz w:val="24"/>
                <w:szCs w:val="24"/>
              </w:rPr>
            </w:pPr>
            <w:r>
              <w:rPr>
                <w:sz w:val="24"/>
              </w:rPr>
              <w:t>Incapacité des patients à accéder aux services et aux médicaments existants/utilisation des services de santé existants</w:t>
            </w:r>
          </w:p>
        </w:tc>
      </w:tr>
      <w:tr w:rsidR="006A5F51" w:rsidRPr="004343FC" w14:paraId="557B376B" w14:textId="77777777" w:rsidTr="0028735E">
        <w:trPr>
          <w:trHeight w:val="1566"/>
        </w:trPr>
        <w:tc>
          <w:tcPr>
            <w:tcW w:w="3964" w:type="dxa"/>
            <w:vMerge w:val="restart"/>
          </w:tcPr>
          <w:p w14:paraId="2CF4FFAD" w14:textId="77777777" w:rsidR="006A5F51" w:rsidRPr="00A76BC2" w:rsidRDefault="006A5F51" w:rsidP="0028735E">
            <w:pPr>
              <w:pStyle w:val="Normal1"/>
              <w:numPr>
                <w:ilvl w:val="0"/>
                <w:numId w:val="1"/>
              </w:numPr>
              <w:rPr>
                <w:rFonts w:asciiTheme="minorHAnsi" w:hAnsiTheme="minorHAnsi" w:cstheme="minorHAnsi"/>
                <w:sz w:val="24"/>
                <w:szCs w:val="24"/>
              </w:rPr>
            </w:pPr>
            <w:r>
              <w:rPr>
                <w:rFonts w:asciiTheme="minorHAnsi" w:hAnsiTheme="minorHAnsi"/>
                <w:i/>
                <w:iCs/>
                <w:sz w:val="24"/>
              </w:rPr>
              <w:lastRenderedPageBreak/>
              <w:t>Les participants sont en mesure</w:t>
            </w:r>
            <w:r>
              <w:rPr>
                <w:rFonts w:asciiTheme="minorHAnsi" w:hAnsiTheme="minorHAnsi"/>
                <w:sz w:val="24"/>
              </w:rPr>
              <w:t xml:space="preserve"> d’identifier une réponse adaptée aux besoins en matière de traitement et de soins des personnes atteintes de MNT lors de crises aiguës et prolongées. </w:t>
            </w:r>
          </w:p>
        </w:tc>
        <w:tc>
          <w:tcPr>
            <w:tcW w:w="3998" w:type="dxa"/>
          </w:tcPr>
          <w:p w14:paraId="4E015083" w14:textId="77777777" w:rsidR="006A5F51" w:rsidRPr="00A76BC2" w:rsidRDefault="006A5F51" w:rsidP="00AD42BA">
            <w:pPr>
              <w:pStyle w:val="ListParagraph"/>
              <w:numPr>
                <w:ilvl w:val="1"/>
                <w:numId w:val="1"/>
              </w:numPr>
              <w:spacing w:line="276" w:lineRule="auto"/>
              <w:ind w:left="360"/>
              <w:rPr>
                <w:rFonts w:cstheme="minorHAnsi"/>
                <w:color w:val="000000"/>
                <w:sz w:val="24"/>
                <w:szCs w:val="24"/>
              </w:rPr>
            </w:pPr>
            <w:r>
              <w:rPr>
                <w:i/>
                <w:iCs/>
                <w:sz w:val="24"/>
              </w:rPr>
              <w:t>Les participants sont en mesure</w:t>
            </w:r>
            <w:r>
              <w:rPr>
                <w:sz w:val="24"/>
              </w:rPr>
              <w:t xml:space="preserve"> d’identifier le fardeau des MNT dans une situation de crise spécifique.</w:t>
            </w:r>
            <w:r>
              <w:rPr>
                <w:color w:val="000000" w:themeColor="text1"/>
                <w:sz w:val="24"/>
              </w:rPr>
              <w:t xml:space="preserve"> </w:t>
            </w:r>
          </w:p>
        </w:tc>
        <w:tc>
          <w:tcPr>
            <w:tcW w:w="5919" w:type="dxa"/>
          </w:tcPr>
          <w:p w14:paraId="237A8D91" w14:textId="77777777" w:rsidR="006A5F51" w:rsidRPr="00A76BC2" w:rsidRDefault="006A5F51" w:rsidP="003652BE">
            <w:pPr>
              <w:pStyle w:val="ListParagraph"/>
              <w:numPr>
                <w:ilvl w:val="0"/>
                <w:numId w:val="18"/>
              </w:numPr>
              <w:spacing w:line="276" w:lineRule="auto"/>
              <w:rPr>
                <w:rFonts w:cstheme="minorHAnsi"/>
                <w:i/>
                <w:sz w:val="24"/>
                <w:szCs w:val="24"/>
              </w:rPr>
            </w:pPr>
            <w:r>
              <w:rPr>
                <w:sz w:val="24"/>
              </w:rPr>
              <w:t>Besoin d’informations contextuelles détaillées lors d’une crise spécifique pour permettre la prise de décision</w:t>
            </w:r>
          </w:p>
          <w:p w14:paraId="2F95B8E9" w14:textId="77777777" w:rsidR="006A5F51" w:rsidRPr="00A76BC2" w:rsidRDefault="006A5F51" w:rsidP="00EC3902">
            <w:pPr>
              <w:pStyle w:val="ListParagraph"/>
              <w:numPr>
                <w:ilvl w:val="1"/>
                <w:numId w:val="37"/>
              </w:numPr>
              <w:spacing w:line="276" w:lineRule="auto"/>
              <w:ind w:left="757"/>
              <w:rPr>
                <w:rFonts w:cstheme="minorHAnsi"/>
                <w:i/>
                <w:sz w:val="24"/>
                <w:szCs w:val="24"/>
              </w:rPr>
            </w:pPr>
            <w:r>
              <w:rPr>
                <w:sz w:val="24"/>
              </w:rPr>
              <w:t>Contexte et type de crise</w:t>
            </w:r>
          </w:p>
          <w:p w14:paraId="1DE39631" w14:textId="77777777" w:rsidR="006A5F51" w:rsidRPr="00A76BC2" w:rsidRDefault="006A5F51" w:rsidP="00EC3902">
            <w:pPr>
              <w:pStyle w:val="ListParagraph"/>
              <w:numPr>
                <w:ilvl w:val="1"/>
                <w:numId w:val="37"/>
              </w:numPr>
              <w:spacing w:line="276" w:lineRule="auto"/>
              <w:ind w:left="757"/>
              <w:rPr>
                <w:rFonts w:cstheme="minorHAnsi"/>
                <w:i/>
                <w:sz w:val="24"/>
                <w:szCs w:val="24"/>
              </w:rPr>
            </w:pPr>
            <w:r>
              <w:rPr>
                <w:sz w:val="24"/>
              </w:rPr>
              <w:t>Principaux groupes de MNT, ventilation des données</w:t>
            </w:r>
          </w:p>
          <w:p w14:paraId="3F059D95" w14:textId="77777777" w:rsidR="006A5F51" w:rsidRPr="00A76BC2" w:rsidRDefault="006A5F51" w:rsidP="00EC3902">
            <w:pPr>
              <w:pStyle w:val="ListParagraph"/>
              <w:numPr>
                <w:ilvl w:val="1"/>
                <w:numId w:val="37"/>
              </w:numPr>
              <w:spacing w:line="276" w:lineRule="auto"/>
              <w:ind w:left="757"/>
              <w:rPr>
                <w:rFonts w:cstheme="minorHAnsi"/>
                <w:i/>
                <w:sz w:val="24"/>
                <w:szCs w:val="24"/>
              </w:rPr>
            </w:pPr>
            <w:r>
              <w:rPr>
                <w:sz w:val="24"/>
              </w:rPr>
              <w:t xml:space="preserve">Sources d’information pour les données de prévalence et de mortalité </w:t>
            </w:r>
          </w:p>
        </w:tc>
      </w:tr>
      <w:tr w:rsidR="006A5F51" w:rsidRPr="004343FC" w14:paraId="25B53C17" w14:textId="77777777" w:rsidTr="00130BD8">
        <w:tc>
          <w:tcPr>
            <w:tcW w:w="3964" w:type="dxa"/>
            <w:vMerge/>
          </w:tcPr>
          <w:p w14:paraId="7309D8FD" w14:textId="77777777" w:rsidR="006A5F51" w:rsidRPr="00A76BC2" w:rsidRDefault="006A5F51" w:rsidP="005E4B03">
            <w:pPr>
              <w:rPr>
                <w:rFonts w:cstheme="minorHAnsi"/>
                <w:sz w:val="24"/>
                <w:szCs w:val="24"/>
              </w:rPr>
            </w:pPr>
          </w:p>
        </w:tc>
        <w:tc>
          <w:tcPr>
            <w:tcW w:w="3998" w:type="dxa"/>
          </w:tcPr>
          <w:p w14:paraId="5BD648EF" w14:textId="77777777" w:rsidR="006A5F51" w:rsidRPr="00A76BC2" w:rsidRDefault="006A5F51" w:rsidP="00AD42BA">
            <w:pPr>
              <w:pStyle w:val="ListParagraph"/>
              <w:numPr>
                <w:ilvl w:val="1"/>
                <w:numId w:val="1"/>
              </w:numPr>
              <w:spacing w:line="276" w:lineRule="auto"/>
              <w:ind w:left="360"/>
              <w:rPr>
                <w:rFonts w:cstheme="minorHAnsi"/>
                <w:color w:val="000000"/>
                <w:sz w:val="24"/>
                <w:szCs w:val="24"/>
              </w:rPr>
            </w:pPr>
            <w:r>
              <w:rPr>
                <w:i/>
                <w:iCs/>
                <w:sz w:val="24"/>
              </w:rPr>
              <w:t>Les participants sont en mesure</w:t>
            </w:r>
            <w:r>
              <w:rPr>
                <w:sz w:val="24"/>
              </w:rPr>
              <w:t xml:space="preserve"> d’évaluer les services de santé existants avant la crise pour les personnes atteintes de MNT et de déterminer comment une crise est susceptible d’affecter ces services </w:t>
            </w:r>
            <w:r>
              <w:rPr>
                <w:color w:val="0070C0"/>
                <w:sz w:val="24"/>
              </w:rPr>
              <w:t>– voir aussi lien vers le module Services de santé</w:t>
            </w:r>
            <w:r>
              <w:rPr>
                <w:sz w:val="24"/>
              </w:rPr>
              <w:t>.</w:t>
            </w:r>
          </w:p>
        </w:tc>
        <w:tc>
          <w:tcPr>
            <w:tcW w:w="5919" w:type="dxa"/>
          </w:tcPr>
          <w:p w14:paraId="46B8EFBC" w14:textId="77777777" w:rsidR="006A5F51" w:rsidRPr="00A76BC2" w:rsidRDefault="006A5F51" w:rsidP="003652BE">
            <w:pPr>
              <w:pStyle w:val="ListParagraph"/>
              <w:numPr>
                <w:ilvl w:val="0"/>
                <w:numId w:val="20"/>
              </w:numPr>
              <w:spacing w:line="276" w:lineRule="auto"/>
              <w:rPr>
                <w:rFonts w:cstheme="minorHAnsi"/>
                <w:color w:val="000000" w:themeColor="text1"/>
                <w:sz w:val="24"/>
                <w:szCs w:val="24"/>
              </w:rPr>
            </w:pPr>
            <w:r>
              <w:rPr>
                <w:color w:val="000000" w:themeColor="text1"/>
                <w:sz w:val="24"/>
              </w:rPr>
              <w:t xml:space="preserve">Types et niveaux de services de santé </w:t>
            </w:r>
          </w:p>
          <w:p w14:paraId="3FD1E340" w14:textId="77777777" w:rsidR="006A5F51" w:rsidRPr="00A76BC2" w:rsidRDefault="006A5F51" w:rsidP="00EC3902">
            <w:pPr>
              <w:pStyle w:val="ListParagraph"/>
              <w:numPr>
                <w:ilvl w:val="1"/>
                <w:numId w:val="38"/>
              </w:numPr>
              <w:spacing w:line="276" w:lineRule="auto"/>
              <w:ind w:left="757"/>
              <w:rPr>
                <w:rFonts w:cstheme="minorHAnsi"/>
                <w:color w:val="000000" w:themeColor="text1"/>
                <w:sz w:val="24"/>
                <w:szCs w:val="24"/>
              </w:rPr>
            </w:pPr>
            <w:r>
              <w:rPr>
                <w:color w:val="000000" w:themeColor="text1"/>
                <w:sz w:val="24"/>
              </w:rPr>
              <w:t>Continuité des soins : niveaux de soins au fil du temps</w:t>
            </w:r>
          </w:p>
          <w:p w14:paraId="7207F3ED" w14:textId="77777777" w:rsidR="006A5F51" w:rsidRPr="00A76BC2" w:rsidRDefault="006A5F51" w:rsidP="00EC3902">
            <w:pPr>
              <w:pStyle w:val="ListParagraph"/>
              <w:numPr>
                <w:ilvl w:val="1"/>
                <w:numId w:val="38"/>
              </w:numPr>
              <w:spacing w:line="276" w:lineRule="auto"/>
              <w:ind w:left="757"/>
              <w:rPr>
                <w:rFonts w:cstheme="minorHAnsi"/>
                <w:color w:val="000000" w:themeColor="text1"/>
                <w:sz w:val="24"/>
                <w:szCs w:val="24"/>
              </w:rPr>
            </w:pPr>
            <w:r>
              <w:rPr>
                <w:color w:val="000000" w:themeColor="text1"/>
                <w:sz w:val="24"/>
              </w:rPr>
              <w:t>WHO Package of Essential Noncommunicable (PEN) disease interventions for Primary Health Care</w:t>
            </w:r>
          </w:p>
          <w:p w14:paraId="3625B798" w14:textId="77777777" w:rsidR="006A5F51" w:rsidRPr="00A76BC2" w:rsidRDefault="006A5F51" w:rsidP="003652BE">
            <w:pPr>
              <w:pStyle w:val="ListParagraph"/>
              <w:numPr>
                <w:ilvl w:val="0"/>
                <w:numId w:val="20"/>
              </w:numPr>
              <w:spacing w:line="276" w:lineRule="auto"/>
              <w:rPr>
                <w:rFonts w:cstheme="minorHAnsi"/>
                <w:color w:val="000000" w:themeColor="text1"/>
                <w:sz w:val="24"/>
                <w:szCs w:val="24"/>
              </w:rPr>
            </w:pPr>
            <w:r>
              <w:rPr>
                <w:color w:val="000000" w:themeColor="text1"/>
                <w:sz w:val="24"/>
              </w:rPr>
              <w:t>Principaux éléments (blocs de construction) pour que les services de santé/établissements de santé assurent la continuité des soins</w:t>
            </w:r>
          </w:p>
          <w:p w14:paraId="60011CA8" w14:textId="77777777" w:rsidR="006A5F51" w:rsidRPr="00A76BC2" w:rsidRDefault="006A5F51" w:rsidP="0028735E">
            <w:pPr>
              <w:pStyle w:val="ListParagraph"/>
              <w:numPr>
                <w:ilvl w:val="0"/>
                <w:numId w:val="20"/>
              </w:numPr>
              <w:spacing w:line="276" w:lineRule="auto"/>
              <w:rPr>
                <w:rFonts w:cstheme="minorHAnsi"/>
                <w:i/>
                <w:color w:val="000000" w:themeColor="text1"/>
                <w:sz w:val="24"/>
                <w:szCs w:val="24"/>
              </w:rPr>
            </w:pPr>
            <w:r>
              <w:rPr>
                <w:color w:val="000000" w:themeColor="text1"/>
                <w:sz w:val="24"/>
              </w:rPr>
              <w:t xml:space="preserve">Accès des différents groupes de population aux services existants/utilisation des services existants </w:t>
            </w:r>
            <w:r>
              <w:rPr>
                <w:i/>
                <w:iCs/>
                <w:color w:val="000000" w:themeColor="text1"/>
                <w:sz w:val="24"/>
              </w:rPr>
              <w:t>(avant-crise, depuis le début de la crise, rendre l’invisible visible)</w:t>
            </w:r>
          </w:p>
        </w:tc>
      </w:tr>
      <w:tr w:rsidR="006A5F51" w:rsidRPr="004343FC" w14:paraId="18F4D556" w14:textId="77777777" w:rsidTr="0028735E">
        <w:tc>
          <w:tcPr>
            <w:tcW w:w="3964" w:type="dxa"/>
            <w:vMerge/>
          </w:tcPr>
          <w:p w14:paraId="34CEF6C7" w14:textId="77777777" w:rsidR="006A5F51" w:rsidRPr="00A76BC2" w:rsidRDefault="006A5F51" w:rsidP="005E4B03">
            <w:pPr>
              <w:rPr>
                <w:rFonts w:cstheme="minorHAnsi"/>
                <w:sz w:val="24"/>
                <w:szCs w:val="24"/>
              </w:rPr>
            </w:pPr>
          </w:p>
        </w:tc>
        <w:tc>
          <w:tcPr>
            <w:tcW w:w="3998" w:type="dxa"/>
          </w:tcPr>
          <w:p w14:paraId="02DE0185" w14:textId="77777777" w:rsidR="006A5F51" w:rsidRPr="00A76BC2" w:rsidRDefault="006A5F51" w:rsidP="00D12268">
            <w:pPr>
              <w:pStyle w:val="ListParagraph"/>
              <w:numPr>
                <w:ilvl w:val="1"/>
                <w:numId w:val="1"/>
              </w:numPr>
              <w:spacing w:line="276" w:lineRule="auto"/>
              <w:ind w:left="360"/>
              <w:rPr>
                <w:rFonts w:cstheme="minorHAnsi"/>
                <w:i/>
                <w:sz w:val="24"/>
                <w:szCs w:val="24"/>
              </w:rPr>
            </w:pPr>
            <w:r>
              <w:rPr>
                <w:i/>
                <w:iCs/>
                <w:sz w:val="24"/>
              </w:rPr>
              <w:t>Les participants sont en mesure</w:t>
            </w:r>
            <w:r>
              <w:rPr>
                <w:sz w:val="24"/>
              </w:rPr>
              <w:t xml:space="preserve"> de décrire les critères de sélection des patients atteints de MNT devant être ciblés en priorité lors d’une situation de crise.</w:t>
            </w:r>
            <w:r>
              <w:rPr>
                <w:i/>
                <w:sz w:val="24"/>
              </w:rPr>
              <w:t xml:space="preserve"> </w:t>
            </w:r>
          </w:p>
        </w:tc>
        <w:tc>
          <w:tcPr>
            <w:tcW w:w="5919" w:type="dxa"/>
          </w:tcPr>
          <w:p w14:paraId="19ECFAE6" w14:textId="77777777" w:rsidR="006A5F51" w:rsidRPr="00A76BC2" w:rsidRDefault="006A5F51" w:rsidP="003652BE">
            <w:pPr>
              <w:pStyle w:val="ListParagraph"/>
              <w:numPr>
                <w:ilvl w:val="0"/>
                <w:numId w:val="27"/>
              </w:numPr>
              <w:rPr>
                <w:rFonts w:cstheme="minorHAnsi"/>
                <w:sz w:val="24"/>
                <w:szCs w:val="24"/>
              </w:rPr>
            </w:pPr>
            <w:r>
              <w:rPr>
                <w:color w:val="000000" w:themeColor="text1"/>
                <w:sz w:val="24"/>
              </w:rPr>
              <w:t>Interventions prioritaires en situation de crise aiguë</w:t>
            </w:r>
          </w:p>
          <w:p w14:paraId="33620A25" w14:textId="77777777" w:rsidR="006A5F51" w:rsidRPr="00A76BC2" w:rsidRDefault="006A5F51" w:rsidP="00EC3902">
            <w:pPr>
              <w:pStyle w:val="ListParagraph"/>
              <w:numPr>
                <w:ilvl w:val="1"/>
                <w:numId w:val="39"/>
              </w:numPr>
              <w:ind w:left="757"/>
              <w:rPr>
                <w:rFonts w:cstheme="minorHAnsi"/>
                <w:sz w:val="24"/>
                <w:szCs w:val="24"/>
              </w:rPr>
            </w:pPr>
            <w:r>
              <w:rPr>
                <w:sz w:val="24"/>
              </w:rPr>
              <w:t>Plan de réponse stratégique : action la plus salvatrice, réponse rapide, mise en œuvre critique</w:t>
            </w:r>
          </w:p>
          <w:p w14:paraId="532C0DF3" w14:textId="77777777" w:rsidR="006A5F51" w:rsidRPr="00A76BC2" w:rsidRDefault="006A5F51" w:rsidP="0067057A">
            <w:pPr>
              <w:pStyle w:val="ListParagraph"/>
              <w:numPr>
                <w:ilvl w:val="2"/>
                <w:numId w:val="32"/>
              </w:numPr>
              <w:spacing w:line="276" w:lineRule="auto"/>
              <w:ind w:left="1097"/>
              <w:rPr>
                <w:rFonts w:cstheme="minorHAnsi"/>
                <w:i/>
                <w:sz w:val="24"/>
                <w:szCs w:val="24"/>
              </w:rPr>
            </w:pPr>
            <w:r>
              <w:rPr>
                <w:i/>
                <w:sz w:val="24"/>
              </w:rPr>
              <w:t>Patients atteints de troubles aigus appelant des soins immédiats et/ou une réorientation rapide</w:t>
            </w:r>
          </w:p>
          <w:p w14:paraId="5C1FFB51" w14:textId="77777777" w:rsidR="006A5F51" w:rsidRPr="00A76BC2" w:rsidRDefault="006A5F51" w:rsidP="0067057A">
            <w:pPr>
              <w:pStyle w:val="ListParagraph"/>
              <w:numPr>
                <w:ilvl w:val="2"/>
                <w:numId w:val="32"/>
              </w:numPr>
              <w:spacing w:line="276" w:lineRule="auto"/>
              <w:ind w:left="1097"/>
              <w:rPr>
                <w:rFonts w:cstheme="minorHAnsi"/>
                <w:i/>
                <w:sz w:val="24"/>
                <w:szCs w:val="24"/>
              </w:rPr>
            </w:pPr>
            <w:r>
              <w:rPr>
                <w:i/>
                <w:sz w:val="24"/>
              </w:rPr>
              <w:lastRenderedPageBreak/>
              <w:t>Patients susceptibles de progresser vers une détérioration rapide ou des complications en l’absence de soins adéquats en temps utile</w:t>
            </w:r>
          </w:p>
          <w:p w14:paraId="51F93CAC" w14:textId="77777777" w:rsidR="006A5F51" w:rsidRPr="00A76BC2" w:rsidRDefault="006A5F51" w:rsidP="00FC77CA">
            <w:pPr>
              <w:pStyle w:val="ListParagraph"/>
              <w:numPr>
                <w:ilvl w:val="2"/>
                <w:numId w:val="32"/>
              </w:numPr>
              <w:spacing w:line="276" w:lineRule="auto"/>
              <w:ind w:left="1097"/>
              <w:rPr>
                <w:rFonts w:cstheme="minorHAnsi"/>
                <w:i/>
                <w:sz w:val="24"/>
                <w:szCs w:val="24"/>
              </w:rPr>
            </w:pPr>
            <w:r>
              <w:rPr>
                <w:i/>
                <w:sz w:val="24"/>
              </w:rPr>
              <w:t>Patients dont l’état est stable et qui sont sans symptômes, qui ont principalement besoin d’une continuité de traitement</w:t>
            </w:r>
          </w:p>
          <w:p w14:paraId="6199820D" w14:textId="77777777" w:rsidR="006A5F51" w:rsidRPr="00A76BC2" w:rsidRDefault="006A5F51" w:rsidP="00A27045">
            <w:pPr>
              <w:pStyle w:val="ListParagraph"/>
              <w:numPr>
                <w:ilvl w:val="0"/>
                <w:numId w:val="23"/>
              </w:numPr>
              <w:spacing w:line="276" w:lineRule="auto"/>
              <w:rPr>
                <w:rFonts w:cstheme="minorHAnsi"/>
                <w:i/>
                <w:sz w:val="24"/>
                <w:szCs w:val="24"/>
              </w:rPr>
            </w:pPr>
            <w:r>
              <w:rPr>
                <w:sz w:val="24"/>
              </w:rPr>
              <w:t>Intervention en situation de crise prolongée :</w:t>
            </w:r>
            <w:r>
              <w:rPr>
                <w:i/>
                <w:sz w:val="24"/>
              </w:rPr>
              <w:t xml:space="preserve"> comme pour la crise aiguë, plus soins élargis aux patients atteints de MNT non couverts par le plan de crise aiguë et à la prévention </w:t>
            </w:r>
          </w:p>
          <w:p w14:paraId="591F1852" w14:textId="77777777" w:rsidR="006A5F51" w:rsidRPr="00A76BC2" w:rsidRDefault="006A5F51" w:rsidP="003D35E9">
            <w:pPr>
              <w:pStyle w:val="ListParagraph"/>
              <w:numPr>
                <w:ilvl w:val="0"/>
                <w:numId w:val="23"/>
              </w:numPr>
              <w:spacing w:line="276" w:lineRule="auto"/>
              <w:rPr>
                <w:rFonts w:cstheme="minorHAnsi"/>
                <w:sz w:val="24"/>
                <w:szCs w:val="24"/>
              </w:rPr>
            </w:pPr>
            <w:r>
              <w:rPr>
                <w:sz w:val="24"/>
              </w:rPr>
              <w:t xml:space="preserve">Envisager toutes les personnes affectées par la crise : impartialité/équité  </w:t>
            </w:r>
          </w:p>
        </w:tc>
      </w:tr>
      <w:tr w:rsidR="00A27045" w:rsidRPr="004343FC" w14:paraId="619CADDE" w14:textId="77777777" w:rsidTr="0028735E">
        <w:tc>
          <w:tcPr>
            <w:tcW w:w="3964" w:type="dxa"/>
          </w:tcPr>
          <w:p w14:paraId="03A90C07" w14:textId="77777777" w:rsidR="00A27045" w:rsidRPr="00A76BC2" w:rsidRDefault="00A27045" w:rsidP="005E4B03">
            <w:pPr>
              <w:rPr>
                <w:rFonts w:cstheme="minorHAnsi"/>
                <w:sz w:val="24"/>
                <w:szCs w:val="24"/>
              </w:rPr>
            </w:pPr>
          </w:p>
        </w:tc>
        <w:tc>
          <w:tcPr>
            <w:tcW w:w="3998" w:type="dxa"/>
          </w:tcPr>
          <w:p w14:paraId="073F1C79" w14:textId="77777777" w:rsidR="00A27045" w:rsidRPr="00A76BC2" w:rsidRDefault="00A27045" w:rsidP="00D12268">
            <w:pPr>
              <w:pStyle w:val="ListParagraph"/>
              <w:numPr>
                <w:ilvl w:val="1"/>
                <w:numId w:val="1"/>
              </w:numPr>
              <w:spacing w:line="276" w:lineRule="auto"/>
              <w:ind w:left="360"/>
              <w:rPr>
                <w:rFonts w:cstheme="minorHAnsi"/>
                <w:i/>
                <w:sz w:val="24"/>
                <w:szCs w:val="24"/>
              </w:rPr>
            </w:pPr>
            <w:r>
              <w:rPr>
                <w:i/>
                <w:iCs/>
                <w:sz w:val="24"/>
              </w:rPr>
              <w:t>Les participants sont en mesure</w:t>
            </w:r>
            <w:r>
              <w:rPr>
                <w:sz w:val="24"/>
              </w:rPr>
              <w:t xml:space="preserve"> de proposer une réponse adéquate sur la base de la capacité existante des services de santé.</w:t>
            </w:r>
          </w:p>
        </w:tc>
        <w:tc>
          <w:tcPr>
            <w:tcW w:w="5919" w:type="dxa"/>
          </w:tcPr>
          <w:p w14:paraId="1B33FCB7" w14:textId="77777777" w:rsidR="004A5DD2" w:rsidRPr="00A76BC2" w:rsidRDefault="00FC77CA" w:rsidP="004A5DD2">
            <w:pPr>
              <w:pStyle w:val="ListParagraph"/>
              <w:numPr>
                <w:ilvl w:val="0"/>
                <w:numId w:val="26"/>
              </w:numPr>
              <w:rPr>
                <w:rFonts w:cstheme="minorHAnsi"/>
                <w:sz w:val="24"/>
                <w:szCs w:val="24"/>
              </w:rPr>
            </w:pPr>
            <w:r>
              <w:rPr>
                <w:sz w:val="24"/>
              </w:rPr>
              <w:t xml:space="preserve">Lacunes/déséquilibre entre les besoins et les services (continuité des soins) </w:t>
            </w:r>
          </w:p>
          <w:p w14:paraId="3472B925" w14:textId="77777777" w:rsidR="00FC77CA" w:rsidRPr="00A76BC2" w:rsidRDefault="00FC77CA" w:rsidP="004A5DD2">
            <w:pPr>
              <w:pStyle w:val="ListParagraph"/>
              <w:numPr>
                <w:ilvl w:val="0"/>
                <w:numId w:val="26"/>
              </w:numPr>
              <w:rPr>
                <w:rFonts w:cstheme="minorHAnsi"/>
                <w:color w:val="0000FF"/>
                <w:sz w:val="24"/>
                <w:szCs w:val="24"/>
              </w:rPr>
            </w:pPr>
            <w:r>
              <w:rPr>
                <w:sz w:val="24"/>
              </w:rPr>
              <w:t xml:space="preserve">Accès aux services disponibles </w:t>
            </w:r>
            <w:r>
              <w:rPr>
                <w:color w:val="0000FF"/>
                <w:sz w:val="24"/>
              </w:rPr>
              <w:t>– lien vers le module « Services de santé »</w:t>
            </w:r>
          </w:p>
          <w:p w14:paraId="303590EA" w14:textId="77777777" w:rsidR="00FC77CA" w:rsidRPr="00A76BC2" w:rsidRDefault="00FC77CA" w:rsidP="00FC77CA">
            <w:pPr>
              <w:pStyle w:val="ListParagraph"/>
              <w:numPr>
                <w:ilvl w:val="0"/>
                <w:numId w:val="26"/>
              </w:numPr>
              <w:spacing w:line="276" w:lineRule="auto"/>
              <w:rPr>
                <w:rFonts w:cstheme="minorHAnsi"/>
                <w:sz w:val="24"/>
                <w:szCs w:val="24"/>
              </w:rPr>
            </w:pPr>
            <w:r>
              <w:rPr>
                <w:sz w:val="24"/>
              </w:rPr>
              <w:t xml:space="preserve">Le type et le niveau d’intervention doivent correspondre au niveau d’avant-crise et être adaptés au type de crise </w:t>
            </w:r>
            <w:r>
              <w:rPr>
                <w:i/>
                <w:iCs/>
                <w:sz w:val="24"/>
              </w:rPr>
              <w:t>(il n’est pas recommandé de mettre en place un niveau de soins plus élevé qui n’est pas viable)</w:t>
            </w:r>
            <w:r>
              <w:rPr>
                <w:sz w:val="24"/>
              </w:rPr>
              <w:t xml:space="preserve"> </w:t>
            </w:r>
            <w:r>
              <w:rPr>
                <w:color w:val="0000FF"/>
                <w:sz w:val="24"/>
              </w:rPr>
              <w:t>(réf. 2.2 ci-dessus)</w:t>
            </w:r>
          </w:p>
          <w:p w14:paraId="12053DFF" w14:textId="77777777" w:rsidR="00FE6D61" w:rsidRPr="00A76BC2" w:rsidRDefault="00A27045" w:rsidP="00D503BE">
            <w:pPr>
              <w:pStyle w:val="Normal1"/>
              <w:numPr>
                <w:ilvl w:val="0"/>
                <w:numId w:val="26"/>
              </w:numPr>
              <w:rPr>
                <w:rFonts w:asciiTheme="minorHAnsi" w:hAnsiTheme="minorHAnsi" w:cstheme="minorHAnsi"/>
                <w:color w:val="000000" w:themeColor="text1"/>
                <w:sz w:val="24"/>
                <w:szCs w:val="24"/>
              </w:rPr>
            </w:pPr>
            <w:r>
              <w:rPr>
                <w:rFonts w:asciiTheme="minorHAnsi" w:hAnsiTheme="minorHAnsi"/>
                <w:color w:val="000000" w:themeColor="text1"/>
                <w:sz w:val="24"/>
              </w:rPr>
              <w:t>Gestion de la maladie axée sur le patient/autonomisation du patient</w:t>
            </w:r>
          </w:p>
          <w:p w14:paraId="6E282312" w14:textId="77777777" w:rsidR="00A27045" w:rsidRPr="00A76BC2" w:rsidRDefault="00A27045" w:rsidP="00A27045">
            <w:pPr>
              <w:pStyle w:val="ListParagraph"/>
              <w:numPr>
                <w:ilvl w:val="0"/>
                <w:numId w:val="26"/>
              </w:numPr>
              <w:spacing w:line="276" w:lineRule="auto"/>
              <w:rPr>
                <w:rFonts w:cstheme="minorHAnsi"/>
                <w:sz w:val="24"/>
                <w:szCs w:val="24"/>
              </w:rPr>
            </w:pPr>
            <w:r>
              <w:rPr>
                <w:sz w:val="24"/>
              </w:rPr>
              <w:t xml:space="preserve">Dilemmes éthiques liés à l’inclusion/l’exclusion des patients </w:t>
            </w:r>
          </w:p>
          <w:p w14:paraId="14D655AA" w14:textId="77777777" w:rsidR="00A27045" w:rsidRPr="00A76BC2" w:rsidRDefault="009C04B7" w:rsidP="00FC77CA">
            <w:pPr>
              <w:pStyle w:val="ListParagraph"/>
              <w:numPr>
                <w:ilvl w:val="1"/>
                <w:numId w:val="26"/>
              </w:numPr>
              <w:spacing w:line="276" w:lineRule="auto"/>
              <w:ind w:left="757"/>
              <w:rPr>
                <w:rFonts w:cstheme="minorHAnsi"/>
                <w:sz w:val="24"/>
                <w:szCs w:val="24"/>
              </w:rPr>
            </w:pPr>
            <w:r>
              <w:rPr>
                <w:sz w:val="24"/>
              </w:rPr>
              <w:t>Principe utilitariste : le meilleur pour le plus grand nombre</w:t>
            </w:r>
          </w:p>
          <w:p w14:paraId="7DA1126D" w14:textId="77777777" w:rsidR="00A27045" w:rsidRPr="00A76BC2" w:rsidRDefault="00A27045" w:rsidP="00A27045">
            <w:pPr>
              <w:pStyle w:val="ListParagraph"/>
              <w:numPr>
                <w:ilvl w:val="0"/>
                <w:numId w:val="26"/>
              </w:numPr>
              <w:spacing w:line="276" w:lineRule="auto"/>
              <w:rPr>
                <w:rFonts w:cstheme="minorHAnsi"/>
                <w:sz w:val="24"/>
                <w:szCs w:val="24"/>
              </w:rPr>
            </w:pPr>
            <w:r>
              <w:rPr>
                <w:sz w:val="24"/>
              </w:rPr>
              <w:lastRenderedPageBreak/>
              <w:t xml:space="preserve">Soins palliatifs </w:t>
            </w:r>
          </w:p>
          <w:p w14:paraId="274CDE3A" w14:textId="77777777" w:rsidR="00A27045" w:rsidRPr="00A76BC2" w:rsidRDefault="009C04B7" w:rsidP="00A27045">
            <w:pPr>
              <w:pStyle w:val="ListParagraph"/>
              <w:numPr>
                <w:ilvl w:val="0"/>
                <w:numId w:val="26"/>
              </w:numPr>
              <w:spacing w:line="276" w:lineRule="auto"/>
              <w:rPr>
                <w:rFonts w:cstheme="minorHAnsi"/>
                <w:color w:val="000000" w:themeColor="text1"/>
                <w:sz w:val="24"/>
                <w:szCs w:val="24"/>
              </w:rPr>
            </w:pPr>
            <w:r>
              <w:rPr>
                <w:color w:val="000000" w:themeColor="text1"/>
                <w:sz w:val="24"/>
              </w:rPr>
              <w:t xml:space="preserve">Détection active de cas ou non </w:t>
            </w:r>
            <w:r>
              <w:rPr>
                <w:i/>
                <w:iCs/>
                <w:color w:val="000000" w:themeColor="text1"/>
                <w:sz w:val="24"/>
              </w:rPr>
              <w:t>(à envisager uniquement pour les patients à haut risque afin d’améliorer leur prise en charge)</w:t>
            </w:r>
          </w:p>
          <w:p w14:paraId="4AF63003" w14:textId="77777777" w:rsidR="00A27045" w:rsidRPr="00A76BC2" w:rsidRDefault="00A27045" w:rsidP="00A27045">
            <w:pPr>
              <w:pStyle w:val="ListParagraph"/>
              <w:numPr>
                <w:ilvl w:val="0"/>
                <w:numId w:val="26"/>
              </w:numPr>
              <w:spacing w:line="276" w:lineRule="auto"/>
              <w:rPr>
                <w:rFonts w:cstheme="minorHAnsi"/>
                <w:sz w:val="24"/>
                <w:szCs w:val="24"/>
              </w:rPr>
            </w:pPr>
            <w:r>
              <w:rPr>
                <w:color w:val="000000" w:themeColor="text1"/>
                <w:sz w:val="24"/>
              </w:rPr>
              <w:t xml:space="preserve">Importance de la confidentialité des données personnelles </w:t>
            </w:r>
          </w:p>
        </w:tc>
      </w:tr>
    </w:tbl>
    <w:p w14:paraId="52C70220" w14:textId="77777777" w:rsidR="00A27045" w:rsidRPr="00A27045" w:rsidRDefault="00A27045"/>
    <w:sectPr w:rsidR="00A27045" w:rsidRPr="00A27045" w:rsidSect="004343FC">
      <w:headerReference w:type="defaul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3BC2F" w14:textId="77777777" w:rsidR="008A1988" w:rsidRDefault="008A1988" w:rsidP="001F28DE">
      <w:pPr>
        <w:spacing w:after="0" w:line="240" w:lineRule="auto"/>
      </w:pPr>
      <w:r>
        <w:separator/>
      </w:r>
    </w:p>
  </w:endnote>
  <w:endnote w:type="continuationSeparator" w:id="0">
    <w:p w14:paraId="776C9925" w14:textId="77777777" w:rsidR="008A1988" w:rsidRDefault="008A1988" w:rsidP="001F2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975B8" w14:textId="77777777" w:rsidR="008A1988" w:rsidRDefault="008A1988" w:rsidP="001F28DE">
      <w:pPr>
        <w:spacing w:after="0" w:line="240" w:lineRule="auto"/>
      </w:pPr>
      <w:r>
        <w:separator/>
      </w:r>
    </w:p>
  </w:footnote>
  <w:footnote w:type="continuationSeparator" w:id="0">
    <w:p w14:paraId="11C535D6" w14:textId="77777777" w:rsidR="008A1988" w:rsidRDefault="008A1988" w:rsidP="001F2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E561B" w14:textId="77777777" w:rsidR="00EC3902" w:rsidRDefault="00EC3902">
    <w:pPr>
      <w:pStyle w:val="Header"/>
    </w:pPr>
    <w:r>
      <w:t>Version juin 2019 – Final2019</w:t>
    </w:r>
  </w:p>
  <w:p w14:paraId="2F0A3329" w14:textId="77777777" w:rsidR="001F28DE" w:rsidRDefault="001F28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AC2"/>
    <w:multiLevelType w:val="hybridMultilevel"/>
    <w:tmpl w:val="DA3A735E"/>
    <w:lvl w:ilvl="0" w:tplc="100C0001">
      <w:start w:val="1"/>
      <w:numFmt w:val="bullet"/>
      <w:lvlText w:val=""/>
      <w:lvlJc w:val="left"/>
      <w:pPr>
        <w:ind w:left="360" w:hanging="360"/>
      </w:pPr>
      <w:rPr>
        <w:rFonts w:ascii="Symbol" w:hAnsi="Symbol"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 w15:restartNumberingAfterBreak="0">
    <w:nsid w:val="06662EFF"/>
    <w:multiLevelType w:val="hybridMultilevel"/>
    <w:tmpl w:val="586447E2"/>
    <w:lvl w:ilvl="0" w:tplc="100C0001">
      <w:start w:val="1"/>
      <w:numFmt w:val="bullet"/>
      <w:lvlText w:val=""/>
      <w:lvlJc w:val="left"/>
      <w:pPr>
        <w:ind w:left="360" w:hanging="360"/>
      </w:pPr>
      <w:rPr>
        <w:rFonts w:ascii="Symbol" w:hAnsi="Symbol" w:hint="default"/>
      </w:rPr>
    </w:lvl>
    <w:lvl w:ilvl="1" w:tplc="83E086A0">
      <w:start w:val="1"/>
      <w:numFmt w:val="bullet"/>
      <w:lvlText w:val="-"/>
      <w:lvlJc w:val="left"/>
      <w:pPr>
        <w:ind w:left="1080" w:hanging="360"/>
      </w:pPr>
      <w:rPr>
        <w:rFonts w:ascii="Calibri" w:hAnsi="Calibri"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07184C33"/>
    <w:multiLevelType w:val="hybridMultilevel"/>
    <w:tmpl w:val="090ECCA6"/>
    <w:lvl w:ilvl="0" w:tplc="100C0001">
      <w:start w:val="1"/>
      <w:numFmt w:val="bullet"/>
      <w:lvlText w:val=""/>
      <w:lvlJc w:val="left"/>
      <w:pPr>
        <w:ind w:left="360" w:hanging="360"/>
      </w:pPr>
      <w:rPr>
        <w:rFonts w:ascii="Symbol" w:hAnsi="Symbol"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 w15:restartNumberingAfterBreak="0">
    <w:nsid w:val="07660872"/>
    <w:multiLevelType w:val="hybridMultilevel"/>
    <w:tmpl w:val="D68090EA"/>
    <w:lvl w:ilvl="0" w:tplc="100C0003">
      <w:start w:val="1"/>
      <w:numFmt w:val="bullet"/>
      <w:lvlText w:val="o"/>
      <w:lvlJc w:val="left"/>
      <w:pPr>
        <w:ind w:left="1080" w:hanging="360"/>
      </w:pPr>
      <w:rPr>
        <w:rFonts w:ascii="Courier New" w:hAnsi="Courier New" w:cs="Courier New"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4" w15:restartNumberingAfterBreak="0">
    <w:nsid w:val="083B73A7"/>
    <w:multiLevelType w:val="hybridMultilevel"/>
    <w:tmpl w:val="2F22BAFE"/>
    <w:lvl w:ilvl="0" w:tplc="5202A7F8">
      <w:start w:val="3"/>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DB2296"/>
    <w:multiLevelType w:val="hybridMultilevel"/>
    <w:tmpl w:val="216802DE"/>
    <w:lvl w:ilvl="0" w:tplc="100C0001">
      <w:start w:val="1"/>
      <w:numFmt w:val="bullet"/>
      <w:lvlText w:val=""/>
      <w:lvlJc w:val="left"/>
      <w:pPr>
        <w:ind w:left="360" w:hanging="360"/>
      </w:pPr>
      <w:rPr>
        <w:rFonts w:ascii="Symbol" w:hAnsi="Symbol" w:hint="default"/>
      </w:rPr>
    </w:lvl>
    <w:lvl w:ilvl="1" w:tplc="83E086A0">
      <w:start w:val="1"/>
      <w:numFmt w:val="bullet"/>
      <w:lvlText w:val="-"/>
      <w:lvlJc w:val="left"/>
      <w:pPr>
        <w:ind w:left="1080" w:hanging="360"/>
      </w:pPr>
      <w:rPr>
        <w:rFonts w:ascii="Calibri" w:hAnsi="Calibri" w:hint="default"/>
      </w:rPr>
    </w:lvl>
    <w:lvl w:ilvl="2" w:tplc="100C0005">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6" w15:restartNumberingAfterBreak="0">
    <w:nsid w:val="0DC32A85"/>
    <w:multiLevelType w:val="multilevel"/>
    <w:tmpl w:val="506CCEB2"/>
    <w:lvl w:ilvl="0">
      <w:start w:val="1"/>
      <w:numFmt w:val="decimal"/>
      <w:lvlText w:val="%1."/>
      <w:lvlJc w:val="left"/>
      <w:pPr>
        <w:ind w:left="360" w:hanging="360"/>
      </w:pPr>
      <w:rPr>
        <w:rFonts w:hint="default"/>
        <w:b w:val="0"/>
        <w:color w:val="auto"/>
        <w:sz w:val="22"/>
      </w:rPr>
    </w:lvl>
    <w:lvl w:ilvl="1">
      <w:start w:val="1"/>
      <w:numFmt w:val="decimal"/>
      <w:lvlText w:val="%1.%2."/>
      <w:lvlJc w:val="left"/>
      <w:pPr>
        <w:ind w:left="643" w:hanging="360"/>
      </w:pPr>
      <w:rPr>
        <w:rFonts w:hint="default"/>
        <w:i w:val="0"/>
        <w:color w:val="auto"/>
        <w:sz w:val="22"/>
      </w:rPr>
    </w:lvl>
    <w:lvl w:ilvl="2">
      <w:start w:val="1"/>
      <w:numFmt w:val="decimal"/>
      <w:lvlText w:val="%1.%2.%3."/>
      <w:lvlJc w:val="left"/>
      <w:pPr>
        <w:ind w:left="720" w:hanging="720"/>
      </w:pPr>
      <w:rPr>
        <w:rFonts w:hint="default"/>
        <w:color w:val="auto"/>
        <w:sz w:val="22"/>
      </w:rPr>
    </w:lvl>
    <w:lvl w:ilvl="3">
      <w:start w:val="1"/>
      <w:numFmt w:val="decimal"/>
      <w:lvlText w:val="%1.%2.%3.%4."/>
      <w:lvlJc w:val="left"/>
      <w:pPr>
        <w:ind w:left="720" w:hanging="720"/>
      </w:pPr>
      <w:rPr>
        <w:rFonts w:hint="default"/>
        <w:color w:val="auto"/>
        <w:sz w:val="22"/>
      </w:rPr>
    </w:lvl>
    <w:lvl w:ilvl="4">
      <w:start w:val="1"/>
      <w:numFmt w:val="decimal"/>
      <w:lvlText w:val="%1.%2.%3.%4.%5."/>
      <w:lvlJc w:val="left"/>
      <w:pPr>
        <w:ind w:left="1080" w:hanging="1080"/>
      </w:pPr>
      <w:rPr>
        <w:rFonts w:hint="default"/>
        <w:color w:val="auto"/>
        <w:sz w:val="22"/>
      </w:rPr>
    </w:lvl>
    <w:lvl w:ilvl="5">
      <w:start w:val="1"/>
      <w:numFmt w:val="decimal"/>
      <w:lvlText w:val="%1.%2.%3.%4.%5.%6."/>
      <w:lvlJc w:val="left"/>
      <w:pPr>
        <w:ind w:left="1080" w:hanging="1080"/>
      </w:pPr>
      <w:rPr>
        <w:rFonts w:hint="default"/>
        <w:color w:val="auto"/>
        <w:sz w:val="22"/>
      </w:rPr>
    </w:lvl>
    <w:lvl w:ilvl="6">
      <w:start w:val="1"/>
      <w:numFmt w:val="decimal"/>
      <w:lvlText w:val="%1.%2.%3.%4.%5.%6.%7."/>
      <w:lvlJc w:val="left"/>
      <w:pPr>
        <w:ind w:left="1440" w:hanging="1440"/>
      </w:pPr>
      <w:rPr>
        <w:rFonts w:hint="default"/>
        <w:color w:val="auto"/>
        <w:sz w:val="22"/>
      </w:rPr>
    </w:lvl>
    <w:lvl w:ilvl="7">
      <w:start w:val="1"/>
      <w:numFmt w:val="decimal"/>
      <w:lvlText w:val="%1.%2.%3.%4.%5.%6.%7.%8."/>
      <w:lvlJc w:val="left"/>
      <w:pPr>
        <w:ind w:left="1440" w:hanging="1440"/>
      </w:pPr>
      <w:rPr>
        <w:rFonts w:hint="default"/>
        <w:color w:val="auto"/>
        <w:sz w:val="22"/>
      </w:rPr>
    </w:lvl>
    <w:lvl w:ilvl="8">
      <w:start w:val="1"/>
      <w:numFmt w:val="decimal"/>
      <w:lvlText w:val="%1.%2.%3.%4.%5.%6.%7.%8.%9."/>
      <w:lvlJc w:val="left"/>
      <w:pPr>
        <w:ind w:left="1800" w:hanging="1800"/>
      </w:pPr>
      <w:rPr>
        <w:rFonts w:hint="default"/>
        <w:color w:val="auto"/>
        <w:sz w:val="22"/>
      </w:rPr>
    </w:lvl>
  </w:abstractNum>
  <w:abstractNum w:abstractNumId="7" w15:restartNumberingAfterBreak="0">
    <w:nsid w:val="0DEE1C07"/>
    <w:multiLevelType w:val="hybridMultilevel"/>
    <w:tmpl w:val="B41066D0"/>
    <w:lvl w:ilvl="0" w:tplc="5202A7F8">
      <w:start w:val="3"/>
      <w:numFmt w:val="bullet"/>
      <w:lvlText w:val="-"/>
      <w:lvlJc w:val="left"/>
      <w:pPr>
        <w:ind w:left="360" w:hanging="360"/>
      </w:pPr>
      <w:rPr>
        <w:rFonts w:ascii="Times New Roman" w:eastAsiaTheme="minorHAnsi" w:hAnsi="Times New Roman" w:cs="Times New Roman" w:hint="default"/>
        <w:i w:val="0"/>
      </w:rPr>
    </w:lvl>
    <w:lvl w:ilvl="1" w:tplc="04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1662508"/>
    <w:multiLevelType w:val="hybridMultilevel"/>
    <w:tmpl w:val="980EBEA0"/>
    <w:lvl w:ilvl="0" w:tplc="5202A7F8">
      <w:start w:val="3"/>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D2323A"/>
    <w:multiLevelType w:val="hybridMultilevel"/>
    <w:tmpl w:val="39585CC4"/>
    <w:lvl w:ilvl="0" w:tplc="100C0001">
      <w:start w:val="1"/>
      <w:numFmt w:val="bullet"/>
      <w:lvlText w:val=""/>
      <w:lvlJc w:val="left"/>
      <w:pPr>
        <w:ind w:left="360" w:hanging="360"/>
      </w:pPr>
      <w:rPr>
        <w:rFonts w:ascii="Symbol" w:hAnsi="Symbol" w:hint="default"/>
      </w:rPr>
    </w:lvl>
    <w:lvl w:ilvl="1" w:tplc="83E086A0">
      <w:start w:val="1"/>
      <w:numFmt w:val="bullet"/>
      <w:lvlText w:val="-"/>
      <w:lvlJc w:val="left"/>
      <w:pPr>
        <w:ind w:left="1080" w:hanging="360"/>
      </w:pPr>
      <w:rPr>
        <w:rFonts w:ascii="Calibri" w:hAnsi="Calibri" w:hint="default"/>
      </w:rPr>
    </w:lvl>
    <w:lvl w:ilvl="2" w:tplc="100C0005">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0" w15:restartNumberingAfterBreak="0">
    <w:nsid w:val="1B1D5A4B"/>
    <w:multiLevelType w:val="hybridMultilevel"/>
    <w:tmpl w:val="797E355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1F8E3357"/>
    <w:multiLevelType w:val="hybridMultilevel"/>
    <w:tmpl w:val="A328B796"/>
    <w:lvl w:ilvl="0" w:tplc="5202A7F8">
      <w:start w:val="3"/>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031D57"/>
    <w:multiLevelType w:val="hybridMultilevel"/>
    <w:tmpl w:val="A7F282B8"/>
    <w:lvl w:ilvl="0" w:tplc="5202A7F8">
      <w:start w:val="3"/>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987DB4"/>
    <w:multiLevelType w:val="hybridMultilevel"/>
    <w:tmpl w:val="EEAE33DE"/>
    <w:lvl w:ilvl="0" w:tplc="5202A7F8">
      <w:start w:val="3"/>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8B58F0"/>
    <w:multiLevelType w:val="hybridMultilevel"/>
    <w:tmpl w:val="1A64CA40"/>
    <w:lvl w:ilvl="0" w:tplc="100C0001">
      <w:start w:val="1"/>
      <w:numFmt w:val="bullet"/>
      <w:lvlText w:val=""/>
      <w:lvlJc w:val="left"/>
      <w:pPr>
        <w:ind w:left="360" w:hanging="360"/>
      </w:pPr>
      <w:rPr>
        <w:rFonts w:ascii="Symbol" w:hAnsi="Symbol"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5" w15:restartNumberingAfterBreak="0">
    <w:nsid w:val="30DE762A"/>
    <w:multiLevelType w:val="hybridMultilevel"/>
    <w:tmpl w:val="0FB264FA"/>
    <w:lvl w:ilvl="0" w:tplc="100C0001">
      <w:start w:val="1"/>
      <w:numFmt w:val="bullet"/>
      <w:lvlText w:val=""/>
      <w:lvlJc w:val="left"/>
      <w:pPr>
        <w:ind w:left="360" w:hanging="360"/>
      </w:pPr>
      <w:rPr>
        <w:rFonts w:ascii="Symbol" w:hAnsi="Symbol"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6" w15:restartNumberingAfterBreak="0">
    <w:nsid w:val="310F5859"/>
    <w:multiLevelType w:val="hybridMultilevel"/>
    <w:tmpl w:val="187A5122"/>
    <w:lvl w:ilvl="0" w:tplc="100C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510EA7"/>
    <w:multiLevelType w:val="hybridMultilevel"/>
    <w:tmpl w:val="8E4A39FA"/>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8" w15:restartNumberingAfterBreak="0">
    <w:nsid w:val="3A325D24"/>
    <w:multiLevelType w:val="hybridMultilevel"/>
    <w:tmpl w:val="DEBA2AA4"/>
    <w:lvl w:ilvl="0" w:tplc="04090003">
      <w:start w:val="1"/>
      <w:numFmt w:val="bullet"/>
      <w:lvlText w:val="o"/>
      <w:lvlJc w:val="left"/>
      <w:pPr>
        <w:ind w:left="720" w:hanging="360"/>
      </w:pPr>
      <w:rPr>
        <w:rFonts w:ascii="Courier New" w:hAnsi="Courier New" w:cs="Courier New"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3B057F2B"/>
    <w:multiLevelType w:val="hybridMultilevel"/>
    <w:tmpl w:val="D2F8F338"/>
    <w:lvl w:ilvl="0" w:tplc="5202A7F8">
      <w:start w:val="3"/>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57B46C3"/>
    <w:multiLevelType w:val="hybridMultilevel"/>
    <w:tmpl w:val="F4146108"/>
    <w:lvl w:ilvl="0" w:tplc="5202A7F8">
      <w:start w:val="3"/>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2F150B"/>
    <w:multiLevelType w:val="hybridMultilevel"/>
    <w:tmpl w:val="94AAC2D4"/>
    <w:lvl w:ilvl="0" w:tplc="100C0001">
      <w:start w:val="1"/>
      <w:numFmt w:val="bullet"/>
      <w:lvlText w:val=""/>
      <w:lvlJc w:val="left"/>
      <w:pPr>
        <w:ind w:left="360" w:hanging="360"/>
      </w:pPr>
      <w:rPr>
        <w:rFonts w:ascii="Symbol" w:hAnsi="Symbol" w:hint="default"/>
      </w:rPr>
    </w:lvl>
    <w:lvl w:ilvl="1" w:tplc="100C0003">
      <w:start w:val="1"/>
      <w:numFmt w:val="bullet"/>
      <w:lvlText w:val="o"/>
      <w:lvlJc w:val="left"/>
      <w:pPr>
        <w:ind w:left="1080" w:hanging="360"/>
      </w:pPr>
      <w:rPr>
        <w:rFonts w:ascii="Courier New" w:hAnsi="Courier New" w:cs="Courier New" w:hint="default"/>
      </w:rPr>
    </w:lvl>
    <w:lvl w:ilvl="2" w:tplc="100C0005">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2" w15:restartNumberingAfterBreak="0">
    <w:nsid w:val="481E5D45"/>
    <w:multiLevelType w:val="hybridMultilevel"/>
    <w:tmpl w:val="F8068746"/>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3" w15:restartNumberingAfterBreak="0">
    <w:nsid w:val="4B70411F"/>
    <w:multiLevelType w:val="hybridMultilevel"/>
    <w:tmpl w:val="02DE6A26"/>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4" w15:restartNumberingAfterBreak="0">
    <w:nsid w:val="50133E55"/>
    <w:multiLevelType w:val="hybridMultilevel"/>
    <w:tmpl w:val="C77C810A"/>
    <w:lvl w:ilvl="0" w:tplc="100C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430A49"/>
    <w:multiLevelType w:val="hybridMultilevel"/>
    <w:tmpl w:val="907EC90E"/>
    <w:lvl w:ilvl="0" w:tplc="5202A7F8">
      <w:start w:val="3"/>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100C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5090B7D"/>
    <w:multiLevelType w:val="hybridMultilevel"/>
    <w:tmpl w:val="BEC29E52"/>
    <w:lvl w:ilvl="0" w:tplc="100C0001">
      <w:start w:val="1"/>
      <w:numFmt w:val="bullet"/>
      <w:lvlText w:val=""/>
      <w:lvlJc w:val="left"/>
      <w:pPr>
        <w:ind w:left="360" w:hanging="360"/>
      </w:pPr>
      <w:rPr>
        <w:rFonts w:ascii="Symbol" w:hAnsi="Symbol" w:hint="default"/>
      </w:rPr>
    </w:lvl>
    <w:lvl w:ilvl="1" w:tplc="83E086A0">
      <w:start w:val="1"/>
      <w:numFmt w:val="bullet"/>
      <w:lvlText w:val="-"/>
      <w:lvlJc w:val="left"/>
      <w:pPr>
        <w:ind w:left="1080" w:hanging="360"/>
      </w:pPr>
      <w:rPr>
        <w:rFonts w:ascii="Calibri" w:hAnsi="Calibri"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7" w15:restartNumberingAfterBreak="0">
    <w:nsid w:val="58E9383F"/>
    <w:multiLevelType w:val="hybridMultilevel"/>
    <w:tmpl w:val="128AB08C"/>
    <w:lvl w:ilvl="0" w:tplc="83E086A0">
      <w:start w:val="1"/>
      <w:numFmt w:val="bullet"/>
      <w:lvlText w:val="-"/>
      <w:lvlJc w:val="left"/>
      <w:pPr>
        <w:ind w:left="1080" w:hanging="360"/>
      </w:pPr>
      <w:rPr>
        <w:rFonts w:ascii="Calibri" w:hAnsi="Calibri"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8" w15:restartNumberingAfterBreak="0">
    <w:nsid w:val="598C121B"/>
    <w:multiLevelType w:val="hybridMultilevel"/>
    <w:tmpl w:val="830277F4"/>
    <w:lvl w:ilvl="0" w:tplc="100C0001">
      <w:start w:val="1"/>
      <w:numFmt w:val="bullet"/>
      <w:lvlText w:val=""/>
      <w:lvlJc w:val="left"/>
      <w:pPr>
        <w:ind w:left="360" w:hanging="360"/>
      </w:pPr>
      <w:rPr>
        <w:rFonts w:ascii="Symbol" w:hAnsi="Symbol" w:hint="default"/>
      </w:rPr>
    </w:lvl>
    <w:lvl w:ilvl="1" w:tplc="83E086A0">
      <w:start w:val="1"/>
      <w:numFmt w:val="bullet"/>
      <w:lvlText w:val="-"/>
      <w:lvlJc w:val="left"/>
      <w:pPr>
        <w:ind w:left="1080" w:hanging="360"/>
      </w:pPr>
      <w:rPr>
        <w:rFonts w:ascii="Calibri" w:hAnsi="Calibri"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9" w15:restartNumberingAfterBreak="0">
    <w:nsid w:val="5A1E6BE1"/>
    <w:multiLevelType w:val="multilevel"/>
    <w:tmpl w:val="1FDCB7E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sz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0" w15:restartNumberingAfterBreak="0">
    <w:nsid w:val="625F1E90"/>
    <w:multiLevelType w:val="hybridMultilevel"/>
    <w:tmpl w:val="832E0F5A"/>
    <w:lvl w:ilvl="0" w:tplc="100C0001">
      <w:start w:val="1"/>
      <w:numFmt w:val="bullet"/>
      <w:lvlText w:val=""/>
      <w:lvlJc w:val="left"/>
      <w:pPr>
        <w:ind w:left="360" w:hanging="360"/>
      </w:pPr>
      <w:rPr>
        <w:rFonts w:ascii="Symbol" w:hAnsi="Symbol"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1" w15:restartNumberingAfterBreak="0">
    <w:nsid w:val="67627ABB"/>
    <w:multiLevelType w:val="hybridMultilevel"/>
    <w:tmpl w:val="33EA065C"/>
    <w:lvl w:ilvl="0" w:tplc="100C0001">
      <w:start w:val="1"/>
      <w:numFmt w:val="bullet"/>
      <w:lvlText w:val=""/>
      <w:lvlJc w:val="left"/>
      <w:pPr>
        <w:ind w:left="360" w:hanging="360"/>
      </w:pPr>
      <w:rPr>
        <w:rFonts w:ascii="Symbol" w:hAnsi="Symbol" w:hint="default"/>
      </w:rPr>
    </w:lvl>
    <w:lvl w:ilvl="1" w:tplc="83E086A0">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8EE4AC1"/>
    <w:multiLevelType w:val="hybridMultilevel"/>
    <w:tmpl w:val="39F2857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3" w15:restartNumberingAfterBreak="0">
    <w:nsid w:val="69704972"/>
    <w:multiLevelType w:val="hybridMultilevel"/>
    <w:tmpl w:val="9A426A7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4" w15:restartNumberingAfterBreak="0">
    <w:nsid w:val="6CC0409E"/>
    <w:multiLevelType w:val="hybridMultilevel"/>
    <w:tmpl w:val="88DAACBA"/>
    <w:lvl w:ilvl="0" w:tplc="5202A7F8">
      <w:start w:val="3"/>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D415E2"/>
    <w:multiLevelType w:val="hybridMultilevel"/>
    <w:tmpl w:val="8D0A36FE"/>
    <w:lvl w:ilvl="0" w:tplc="5202A7F8">
      <w:start w:val="3"/>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3415348"/>
    <w:multiLevelType w:val="hybridMultilevel"/>
    <w:tmpl w:val="836E8E6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7" w15:restartNumberingAfterBreak="0">
    <w:nsid w:val="77972BB1"/>
    <w:multiLevelType w:val="multilevel"/>
    <w:tmpl w:val="76DA2B92"/>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sz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7A17265D"/>
    <w:multiLevelType w:val="hybridMultilevel"/>
    <w:tmpl w:val="13CA9890"/>
    <w:lvl w:ilvl="0" w:tplc="5202A7F8">
      <w:start w:val="3"/>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24309164">
    <w:abstractNumId w:val="6"/>
  </w:num>
  <w:num w:numId="2" w16cid:durableId="1047216503">
    <w:abstractNumId w:val="11"/>
  </w:num>
  <w:num w:numId="3" w16cid:durableId="117141444">
    <w:abstractNumId w:val="12"/>
  </w:num>
  <w:num w:numId="4" w16cid:durableId="1928343226">
    <w:abstractNumId w:val="4"/>
  </w:num>
  <w:num w:numId="5" w16cid:durableId="577441986">
    <w:abstractNumId w:val="35"/>
  </w:num>
  <w:num w:numId="6" w16cid:durableId="455412963">
    <w:abstractNumId w:val="38"/>
  </w:num>
  <w:num w:numId="7" w16cid:durableId="1403722357">
    <w:abstractNumId w:val="29"/>
  </w:num>
  <w:num w:numId="8" w16cid:durableId="736172104">
    <w:abstractNumId w:val="37"/>
  </w:num>
  <w:num w:numId="9" w16cid:durableId="815561583">
    <w:abstractNumId w:val="7"/>
  </w:num>
  <w:num w:numId="10" w16cid:durableId="1414352377">
    <w:abstractNumId w:val="13"/>
  </w:num>
  <w:num w:numId="11" w16cid:durableId="517937983">
    <w:abstractNumId w:val="20"/>
  </w:num>
  <w:num w:numId="12" w16cid:durableId="674963842">
    <w:abstractNumId w:val="19"/>
  </w:num>
  <w:num w:numId="13" w16cid:durableId="794837893">
    <w:abstractNumId w:val="34"/>
  </w:num>
  <w:num w:numId="14" w16cid:durableId="500898741">
    <w:abstractNumId w:val="17"/>
  </w:num>
  <w:num w:numId="15" w16cid:durableId="376245749">
    <w:abstractNumId w:val="33"/>
  </w:num>
  <w:num w:numId="16" w16cid:durableId="1333482639">
    <w:abstractNumId w:val="30"/>
  </w:num>
  <w:num w:numId="17" w16cid:durableId="1181427523">
    <w:abstractNumId w:val="21"/>
  </w:num>
  <w:num w:numId="18" w16cid:durableId="1546018298">
    <w:abstractNumId w:val="2"/>
  </w:num>
  <w:num w:numId="19" w16cid:durableId="487674628">
    <w:abstractNumId w:val="22"/>
  </w:num>
  <w:num w:numId="20" w16cid:durableId="1466507949">
    <w:abstractNumId w:val="14"/>
  </w:num>
  <w:num w:numId="21" w16cid:durableId="1512328493">
    <w:abstractNumId w:val="36"/>
  </w:num>
  <w:num w:numId="22" w16cid:durableId="1576277226">
    <w:abstractNumId w:val="16"/>
  </w:num>
  <w:num w:numId="23" w16cid:durableId="792864517">
    <w:abstractNumId w:val="0"/>
  </w:num>
  <w:num w:numId="24" w16cid:durableId="1955287661">
    <w:abstractNumId w:val="8"/>
  </w:num>
  <w:num w:numId="25" w16cid:durableId="915089159">
    <w:abstractNumId w:val="18"/>
  </w:num>
  <w:num w:numId="26" w16cid:durableId="1943487565">
    <w:abstractNumId w:val="15"/>
  </w:num>
  <w:num w:numId="27" w16cid:durableId="149443174">
    <w:abstractNumId w:val="24"/>
  </w:num>
  <w:num w:numId="28" w16cid:durableId="1731687669">
    <w:abstractNumId w:val="32"/>
  </w:num>
  <w:num w:numId="29" w16cid:durableId="1092124537">
    <w:abstractNumId w:val="10"/>
  </w:num>
  <w:num w:numId="30" w16cid:durableId="186599943">
    <w:abstractNumId w:val="3"/>
  </w:num>
  <w:num w:numId="31" w16cid:durableId="1166214949">
    <w:abstractNumId w:val="23"/>
  </w:num>
  <w:num w:numId="32" w16cid:durableId="1004816838">
    <w:abstractNumId w:val="25"/>
  </w:num>
  <w:num w:numId="33" w16cid:durableId="283778247">
    <w:abstractNumId w:val="27"/>
  </w:num>
  <w:num w:numId="34" w16cid:durableId="2119249510">
    <w:abstractNumId w:val="28"/>
  </w:num>
  <w:num w:numId="35" w16cid:durableId="1951038478">
    <w:abstractNumId w:val="9"/>
  </w:num>
  <w:num w:numId="36" w16cid:durableId="526258393">
    <w:abstractNumId w:val="5"/>
  </w:num>
  <w:num w:numId="37" w16cid:durableId="808941124">
    <w:abstractNumId w:val="26"/>
  </w:num>
  <w:num w:numId="38" w16cid:durableId="447311425">
    <w:abstractNumId w:val="1"/>
  </w:num>
  <w:num w:numId="39" w16cid:durableId="23608961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3FC"/>
    <w:rsid w:val="0003406E"/>
    <w:rsid w:val="000C6C08"/>
    <w:rsid w:val="00130BD8"/>
    <w:rsid w:val="0016052B"/>
    <w:rsid w:val="00163F96"/>
    <w:rsid w:val="0017241C"/>
    <w:rsid w:val="001C53AF"/>
    <w:rsid w:val="001F0936"/>
    <w:rsid w:val="001F28DE"/>
    <w:rsid w:val="0028735E"/>
    <w:rsid w:val="002D583D"/>
    <w:rsid w:val="003652BE"/>
    <w:rsid w:val="0038620E"/>
    <w:rsid w:val="003D35E9"/>
    <w:rsid w:val="004343FC"/>
    <w:rsid w:val="004A5DD2"/>
    <w:rsid w:val="004C3CBA"/>
    <w:rsid w:val="005D7C98"/>
    <w:rsid w:val="0067057A"/>
    <w:rsid w:val="00694503"/>
    <w:rsid w:val="006A5F51"/>
    <w:rsid w:val="006F5866"/>
    <w:rsid w:val="00705762"/>
    <w:rsid w:val="0075573E"/>
    <w:rsid w:val="00840AD0"/>
    <w:rsid w:val="008A1988"/>
    <w:rsid w:val="009240D3"/>
    <w:rsid w:val="009C04B7"/>
    <w:rsid w:val="00A24279"/>
    <w:rsid w:val="00A27045"/>
    <w:rsid w:val="00A76BC2"/>
    <w:rsid w:val="00A80D3F"/>
    <w:rsid w:val="00AA7823"/>
    <w:rsid w:val="00AD42BA"/>
    <w:rsid w:val="00AE41FC"/>
    <w:rsid w:val="00B52247"/>
    <w:rsid w:val="00BF0036"/>
    <w:rsid w:val="00CA3902"/>
    <w:rsid w:val="00D12268"/>
    <w:rsid w:val="00D503BE"/>
    <w:rsid w:val="00EA4C7C"/>
    <w:rsid w:val="00EC3902"/>
    <w:rsid w:val="00ED6C52"/>
    <w:rsid w:val="00F43D68"/>
    <w:rsid w:val="00FA3692"/>
    <w:rsid w:val="00FB4E57"/>
    <w:rsid w:val="00FC1326"/>
    <w:rsid w:val="00FC77CA"/>
    <w:rsid w:val="00FE6D6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C1589A"/>
  <w15:chartTrackingRefBased/>
  <w15:docId w15:val="{852DD4D3-B2BD-4B36-B56E-CF6F9C2F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4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43FC"/>
    <w:pPr>
      <w:ind w:left="720"/>
      <w:contextualSpacing/>
    </w:pPr>
  </w:style>
  <w:style w:type="paragraph" w:customStyle="1" w:styleId="Normal1">
    <w:name w:val="Normal1"/>
    <w:rsid w:val="004343FC"/>
    <w:pPr>
      <w:spacing w:after="0" w:line="276" w:lineRule="auto"/>
    </w:pPr>
    <w:rPr>
      <w:rFonts w:ascii="Arial" w:eastAsia="Arial" w:hAnsi="Arial" w:cs="Arial"/>
      <w:color w:val="000000"/>
      <w:szCs w:val="20"/>
    </w:rPr>
  </w:style>
  <w:style w:type="paragraph" w:styleId="Header">
    <w:name w:val="header"/>
    <w:basedOn w:val="Normal"/>
    <w:link w:val="HeaderChar"/>
    <w:uiPriority w:val="99"/>
    <w:unhideWhenUsed/>
    <w:rsid w:val="001F28DE"/>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28DE"/>
    <w:rPr>
      <w:lang w:val="fr-FR"/>
    </w:rPr>
  </w:style>
  <w:style w:type="paragraph" w:styleId="Footer">
    <w:name w:val="footer"/>
    <w:basedOn w:val="Normal"/>
    <w:link w:val="FooterChar"/>
    <w:uiPriority w:val="99"/>
    <w:unhideWhenUsed/>
    <w:rsid w:val="001F28DE"/>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28DE"/>
    <w:rPr>
      <w:lang w:val="fr-FR"/>
    </w:rPr>
  </w:style>
  <w:style w:type="paragraph" w:styleId="BalloonText">
    <w:name w:val="Balloon Text"/>
    <w:basedOn w:val="Normal"/>
    <w:link w:val="BalloonTextChar"/>
    <w:uiPriority w:val="99"/>
    <w:semiHidden/>
    <w:unhideWhenUsed/>
    <w:rsid w:val="00130B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BD8"/>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ab0fa9d1-5a5a-4c9b-9c24-b67ffc5bb60f" ContentTypeId="0x010100F306B2604BE44180B8B82333BE64DF4E005A5CBB6C53404A16AAEA5338BA523999"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RCIMP_Country_H xmlns="71402401-ee9a-4cfa-82a8-ebbd88d5d766">
      <Terms xmlns="http://schemas.microsoft.com/office/infopath/2007/PartnerControls">
        <TermInfo xmlns="http://schemas.microsoft.com/office/infopath/2007/PartnerControls">
          <TermName xmlns="http://schemas.microsoft.com/office/infopath/2007/PartnerControls">No Country</TermName>
          <TermId xmlns="http://schemas.microsoft.com/office/infopath/2007/PartnerControls">1f55df4f-c103-4303-b974-426a8e7d1d06</TermId>
        </TermInfo>
      </Terms>
    </ICRCIMP_Country_H>
    <Period_x0020_start xmlns="a8a2af44-4b8d-404b-a8bd-4186350a523c">2020-08-12T14:00:00+00:00</Period_x0020_start>
    <TaxCatchAll xmlns="a8a2af44-4b8d-404b-a8bd-4186350a523c">
      <Value>4</Value>
      <Value>31</Value>
      <Value>2</Value>
      <Value>1</Value>
      <Value>3</Value>
    </TaxCatchAll>
    <ICRCIMP_DocumentType_H xmlns="71402401-ee9a-4cfa-82a8-ebbd88d5d766">
      <Terms xmlns="http://schemas.microsoft.com/office/infopath/2007/PartnerControls"/>
    </ICRCIMP_DocumentType_H>
    <ICRCIMP_IHT_H xmlns="71402401-ee9a-4cfa-82a8-ebbd88d5d766">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23eb6094-56fc-4ad4-8ae2-cf1575a694f0</TermId>
        </TermInfo>
      </Terms>
    </ICRCIMP_IHT_H>
    <IsIntranet xmlns="a8a2af44-4b8d-404b-a8bd-4186350a523c">false</IsIntranet>
    <ICRCIMP_BusinessFunction_H xmlns="71402401-ee9a-4cfa-82a8-ebbd88d5d766">
      <Terms xmlns="http://schemas.microsoft.com/office/infopath/2007/PartnerControls">
        <TermInfo xmlns="http://schemas.microsoft.com/office/infopath/2007/PartnerControls">
          <TermName xmlns="http://schemas.microsoft.com/office/infopath/2007/PartnerControls">Assistance</TermName>
          <TermId xmlns="http://schemas.microsoft.com/office/infopath/2007/PartnerControls">9015aaae-65d7-4217-8889-581aaffe05a3</TermId>
        </TermInfo>
      </Terms>
    </ICRCIMP_BusinessFunction_H>
    <pe3ed4b1638e49a0a22b56e84a30773f xmlns="775538c5-eb89-48ba-a372-0acd5d6f1291">
      <Terms xmlns="http://schemas.microsoft.com/office/infopath/2007/PartnerControls">
        <TermInfo xmlns="http://schemas.microsoft.com/office/infopath/2007/PartnerControls">
          <TermName xmlns="http://schemas.microsoft.com/office/infopath/2007/PartnerControls">- No key issue</TermName>
          <TermId xmlns="http://schemas.microsoft.com/office/infopath/2007/PartnerControls">32056555-74b8-4174-9beb-b0d6d010855f</TermId>
        </TermInfo>
      </Terms>
    </pe3ed4b1638e49a0a22b56e84a30773f>
    <ICRCIMP_RMIdentifier xmlns="71402401-ee9a-4cfa-82a8-ebbd88d5d766" xsi:nil="true"/>
    <RatingCount xmlns="http://schemas.microsoft.com/sharepoint/v3" xsi:nil="true"/>
    <ICRCIMP_IsRecord xmlns="71402401-ee9a-4cfa-82a8-ebbd88d5d766">true</ICRCIMP_IsRecord>
    <ICRCIMP_RMTransfer xmlns="71402401-ee9a-4cfa-82a8-ebbd88d5d766">
      <Url xsi:nil="true"/>
      <Description xsi:nil="true"/>
    </ICRCIMP_RMTransfer>
    <ICRCIMP_Keyword_H xmlns="71402401-ee9a-4cfa-82a8-ebbd88d5d766">
      <Terms xmlns="http://schemas.microsoft.com/office/infopath/2007/PartnerControls"/>
    </ICRCIMP_Keyword_H>
    <ICRCIMP_OrganizationalAccronym_H xmlns="71402401-ee9a-4cfa-82a8-ebbd88d5d766">
      <Terms xmlns="http://schemas.microsoft.com/office/infopath/2007/PartnerControls"/>
    </ICRCIMP_OrganizationalAccronym_H>
    <AverageRating xmlns="http://schemas.microsoft.com/sharepoint/v3" xsi:nil="true"/>
    <h205814a13eb4c68bb83316f6dea6ef2 xmlns="71402401-ee9a-4cfa-82a8-ebbd88d5d766">
      <Terms xmlns="http://schemas.microsoft.com/office/infopath/2007/PartnerControls"/>
    </h205814a13eb4c68bb83316f6dea6ef2>
    <ICRCIMP_IsFocus xmlns="71402401-ee9a-4cfa-82a8-ebbd88d5d766">false</ICRCIMP_IsFocus>
    <Period_x0020_end xmlns="a8a2af44-4b8d-404b-a8bd-4186350a523c" xsi:nil="true"/>
    <ICRCIMP_RMUnitInCharge_H xmlns="71402401-ee9a-4cfa-82a8-ebbd88d5d766">
      <Terms xmlns="http://schemas.microsoft.com/office/infopath/2007/PartnerControls">
        <TermInfo xmlns="http://schemas.microsoft.com/office/infopath/2007/PartnerControls">
          <TermName xmlns="http://schemas.microsoft.com/office/infopath/2007/PartnerControls">GVA_OP_ASSIST_HELP</TermName>
          <TermId xmlns="http://schemas.microsoft.com/office/infopath/2007/PartnerControls">c53394dc-0df0-45c5-8220-3bdc97c5e4ad</TermId>
        </TermInfo>
      </Terms>
    </ICRCIMP_RMUnitInCharge_H>
    <_dlc_DocId xmlns="a8a2af44-4b8d-404b-a8bd-4186350a523c">TSASSIST-19-3341</_dlc_DocId>
    <_dlc_DocIdUrl xmlns="a8a2af44-4b8d-404b-a8bd-4186350a523c">
      <Url>https://collab.ext.icrc.org/sites/TS_ASSIST/_layouts/15/DocIdRedir.aspx?ID=TSASSIST-19-3341</Url>
      <Description>TSASSIST-19-3341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ICRC Team Document" ma:contentTypeID="0x010100F306B2604BE44180B8B82333BE64DF4E005A5CBB6C53404A16AAEA5338BA523999000A8DC57427FE8447B6BC7D6E7F551E9D" ma:contentTypeVersion="59" ma:contentTypeDescription="Upload Form" ma:contentTypeScope="" ma:versionID="af942c23399e2bbf09343e682b64174d">
  <xsd:schema xmlns:xsd="http://www.w3.org/2001/XMLSchema" xmlns:xs="http://www.w3.org/2001/XMLSchema" xmlns:p="http://schemas.microsoft.com/office/2006/metadata/properties" xmlns:ns1="http://schemas.microsoft.com/sharepoint/v3" xmlns:ns2="71402401-ee9a-4cfa-82a8-ebbd88d5d766" xmlns:ns3="a8a2af44-4b8d-404b-a8bd-4186350a523c" xmlns:ns4="775538c5-eb89-48ba-a372-0acd5d6f1291" targetNamespace="http://schemas.microsoft.com/office/2006/metadata/properties" ma:root="true" ma:fieldsID="9eefc4f65a2f985d9d7f7f4fa1d65849" ns1:_="" ns2:_="" ns3:_="" ns4:_="">
    <xsd:import namespace="http://schemas.microsoft.com/sharepoint/v3"/>
    <xsd:import namespace="71402401-ee9a-4cfa-82a8-ebbd88d5d766"/>
    <xsd:import namespace="a8a2af44-4b8d-404b-a8bd-4186350a523c"/>
    <xsd:import namespace="775538c5-eb89-48ba-a372-0acd5d6f1291"/>
    <xsd:element name="properties">
      <xsd:complexType>
        <xsd:sequence>
          <xsd:element name="documentManagement">
            <xsd:complexType>
              <xsd:all>
                <xsd:element ref="ns2:ICRCIMP_IsFocus" minOccurs="0"/>
                <xsd:element ref="ns3:IsIntranet" minOccurs="0"/>
                <xsd:element ref="ns3:Period_x0020_start" minOccurs="0"/>
                <xsd:element ref="ns3:Period_x0020_end" minOccurs="0"/>
                <xsd:element ref="ns2:ICRCIMP_IsRecord" minOccurs="0"/>
                <xsd:element ref="ns2:ICRCIMP_RMIdentifier" minOccurs="0"/>
                <xsd:element ref="ns2:ICRCIMP_RMTransfer" minOccurs="0"/>
                <xsd:element ref="ns1:AverageRating" minOccurs="0"/>
                <xsd:element ref="ns1:RatingCount" minOccurs="0"/>
                <xsd:element ref="ns3:_dlc_DocIdUrl" minOccurs="0"/>
                <xsd:element ref="ns2:ICRCIMP_RMUnitInCharge_H" minOccurs="0"/>
                <xsd:element ref="ns3:TaxCatchAll" minOccurs="0"/>
                <xsd:element ref="ns3:TaxCatchAllLabel" minOccurs="0"/>
                <xsd:element ref="ns3:_dlc_DocIdPersistId" minOccurs="0"/>
                <xsd:element ref="ns2:ICRCIMP_Keyword_H" minOccurs="0"/>
                <xsd:element ref="ns3:_dlc_DocId" minOccurs="0"/>
                <xsd:element ref="ns2:ICRCIMP_OrganizationalAccronym_H" minOccurs="0"/>
                <xsd:element ref="ns2:ICRCIMP_Country_H" minOccurs="0"/>
                <xsd:element ref="ns2:ICRCIMP_DocumentType_H" minOccurs="0"/>
                <xsd:element ref="ns2:ICRCIMP_IHT_H" minOccurs="0"/>
                <xsd:element ref="ns2:ICRCIMP_BusinessFunction_H" minOccurs="0"/>
                <xsd:element ref="ns4:pe3ed4b1638e49a0a22b56e84a30773f" minOccurs="0"/>
                <xsd:element ref="ns2:h205814a13eb4c68bb83316f6dea6ef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6" nillable="true" ma:displayName="Rating (0-5)" ma:decimals="2" ma:description="Average value of all the ratings that have been submitted" ma:hidden="true" ma:internalName="AverageRating" ma:readOnly="false">
      <xsd:simpleType>
        <xsd:restriction base="dms:Number"/>
      </xsd:simpleType>
    </xsd:element>
    <xsd:element name="RatingCount" ma:index="17" nillable="true" ma:displayName="Number of Ratings" ma:decimals="0" ma:description="Number of ratings submitted" ma:hidden="true" ma:internalName="RatingCount"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1402401-ee9a-4cfa-82a8-ebbd88d5d766" elementFormDefault="qualified">
    <xsd:import namespace="http://schemas.microsoft.com/office/2006/documentManagement/types"/>
    <xsd:import namespace="http://schemas.microsoft.com/office/infopath/2007/PartnerControls"/>
    <xsd:element name="ICRCIMP_IsFocus" ma:index="5" nillable="true" ma:displayName="Is Key Document" ma:default="0" ma:internalName="ICRCIMP_IsFocus">
      <xsd:simpleType>
        <xsd:restriction base="dms:Boolean"/>
      </xsd:simpleType>
    </xsd:element>
    <xsd:element name="ICRCIMP_IsRecord" ma:index="12" nillable="true" ma:displayName="Is Record" ma:default="0" ma:internalName="ICRCIMP_IsRecord">
      <xsd:simpleType>
        <xsd:restriction base="dms:Boolean"/>
      </xsd:simpleType>
    </xsd:element>
    <xsd:element name="ICRCIMP_RMIdentifier" ma:index="13" nillable="true" ma:displayName="RM Identifier" ma:hidden="true" ma:internalName="ICRCIMP_RMIdentifier" ma:readOnly="false">
      <xsd:simpleType>
        <xsd:restriction base="dms:Text"/>
      </xsd:simpleType>
    </xsd:element>
    <xsd:element name="ICRCIMP_RMTransfer" ma:index="15" nillable="true" ma:displayName="RM Transfer" ma:format="Image" ma:hidden="true" ma:internalName="ICRCIMP_RMTransf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CRCIMP_RMUnitInCharge_H" ma:index="25" nillable="true" ma:taxonomy="true" ma:internalName="ICRCIMP_RMUnitInCharge_H" ma:taxonomyFieldName="ICRCIMP_RMUnitInCharge" ma:displayName="RM Unit In Charge" ma:readOnly="false" ma:default="" ma:fieldId="{6e3f7d82-bb30-4acf-bd11-eef511e2f6ff}"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Keyword_H" ma:index="29" nillable="true" ma:taxonomy="true" ma:internalName="ICRCIMP_Keyword_H" ma:taxonomyFieldName="ICRCIMP_Keyword" ma:displayName="Keyword" ma:readOnly="false" ma:default="" ma:fieldId="{f27af7a6-d078-4508-aeeb-bc60d2b2a9c2}" ma:taxonomyMulti="true" ma:sspId="ab0fa9d1-5a5a-4c9b-9c24-b67ffc5bb60f" ma:termSetId="9e1982ce-954c-4bc3-b476-a56a519943c0" ma:anchorId="dc16195f-09ad-42a4-9fc8-901be5812cbf" ma:open="false" ma:isKeyword="false">
      <xsd:complexType>
        <xsd:sequence>
          <xsd:element ref="pc:Terms" minOccurs="0" maxOccurs="1"/>
        </xsd:sequence>
      </xsd:complexType>
    </xsd:element>
    <xsd:element name="ICRCIMP_OrganizationalAccronym_H" ma:index="31" nillable="true" ma:taxonomy="true" ma:internalName="ICRCIMP_OrganizationalAccronym_H" ma:taxonomyFieldName="ICRCIMP_OrganizationalAccronym" ma:displayName="Organizational Acronym" ma:readOnly="false" ma:default="" ma:fieldId="{7ccf5c89-e992-4c56-8c3d-f080454b7083}"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Country_H" ma:index="32" nillable="true" ma:taxonomy="true" ma:internalName="ICRCIMP_Country_H" ma:taxonomyFieldName="ICRCIMP_Country" ma:displayName="Country" ma:readOnly="false" ma:default="" ma:fieldId="{43c356ae-dbf9-4781-9db5-36f4e2c43aa5}" ma:taxonomyMulti="true" ma:sspId="ab0fa9d1-5a5a-4c9b-9c24-b67ffc5bb60f" ma:termSetId="9e1982ce-954c-4bc3-b476-a56a519943c0" ma:anchorId="ef6172f5-22a7-44c1-85b4-1009e07f4347" ma:open="false" ma:isKeyword="false">
      <xsd:complexType>
        <xsd:sequence>
          <xsd:element ref="pc:Terms" minOccurs="0" maxOccurs="1"/>
        </xsd:sequence>
      </xsd:complexType>
    </xsd:element>
    <xsd:element name="ICRCIMP_DocumentType_H" ma:index="33" nillable="true" ma:taxonomy="true" ma:internalName="ICRCIMP_DocumentType_H" ma:taxonomyFieldName="ICRCIMP_DocumentType" ma:displayName="Document Type" ma:readOnly="false" ma:default="" ma:fieldId="{be9838ba-4f15-4a58-a832-ef14848e4da7}" ma:sspId="ab0fa9d1-5a5a-4c9b-9c24-b67ffc5bb60f" ma:termSetId="9e1982ce-954c-4bc3-b476-a56a519943c0" ma:anchorId="d4aee717-125d-40b5-a4ac-9555539d892b" ma:open="false" ma:isKeyword="false">
      <xsd:complexType>
        <xsd:sequence>
          <xsd:element ref="pc:Terms" minOccurs="0" maxOccurs="1"/>
        </xsd:sequence>
      </xsd:complexType>
    </xsd:element>
    <xsd:element name="ICRCIMP_IHT_H" ma:index="34" nillable="true" ma:taxonomy="true" ma:internalName="ICRCIMP_IHT_H" ma:taxonomyFieldName="ICRCIMP_IHT" ma:displayName="IHT" ma:readOnly="false" ma:default="" ma:fieldId="{065c2617-21f6-47e4-87f5-3c0378fecd5d}" ma:sspId="ab0fa9d1-5a5a-4c9b-9c24-b67ffc5bb60f" ma:termSetId="9e1982ce-954c-4bc3-b476-a56a519943c0" ma:anchorId="b0b0a92e-8599-45de-9f88-f18d1883a95e" ma:open="false" ma:isKeyword="false">
      <xsd:complexType>
        <xsd:sequence>
          <xsd:element ref="pc:Terms" minOccurs="0" maxOccurs="1"/>
        </xsd:sequence>
      </xsd:complexType>
    </xsd:element>
    <xsd:element name="ICRCIMP_BusinessFunction_H" ma:index="35" nillable="true" ma:taxonomy="true" ma:internalName="ICRCIMP_BusinessFunction_H" ma:taxonomyFieldName="ICRCIMP_BusinessFunction" ma:displayName="Business Function" ma:readOnly="false" ma:default="" ma:fieldId="{135f9e93-e411-4f51-a3e4-c80a6701173e}" ma:sspId="ab0fa9d1-5a5a-4c9b-9c24-b67ffc5bb60f" ma:termSetId="9e1982ce-954c-4bc3-b476-a56a519943c0" ma:anchorId="1f494b62-34d6-4855-af7c-08b76e795dc3" ma:open="false" ma:isKeyword="false">
      <xsd:complexType>
        <xsd:sequence>
          <xsd:element ref="pc:Terms" minOccurs="0" maxOccurs="1"/>
        </xsd:sequence>
      </xsd:complexType>
    </xsd:element>
    <xsd:element name="h205814a13eb4c68bb83316f6dea6ef2" ma:index="38" nillable="true" ma:taxonomy="true" ma:internalName="h205814a13eb4c68bb83316f6dea6ef2" ma:taxonomyFieldName="ICRCIMP_KeyIssue" ma:displayName="Key Issue" ma:fieldId="{1205814a-13eb-4c68-bb83-316f6dea6ef2}" ma:sspId="ab0fa9d1-5a5a-4c9b-9c24-b67ffc5bb60f" ma:termSetId="9e1982ce-954c-4bc3-b476-a56a519943c0" ma:anchorId="a8ad2310-98ac-4bbe-9c4d-0a57da7951a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a2af44-4b8d-404b-a8bd-4186350a523c" elementFormDefault="qualified">
    <xsd:import namespace="http://schemas.microsoft.com/office/2006/documentManagement/types"/>
    <xsd:import namespace="http://schemas.microsoft.com/office/infopath/2007/PartnerControls"/>
    <xsd:element name="IsIntranet" ma:index="6" nillable="true" ma:displayName="Is Intranet" ma:default="0" ma:internalName="IsIntranet">
      <xsd:simpleType>
        <xsd:restriction base="dms:Boolean"/>
      </xsd:simpleType>
    </xsd:element>
    <xsd:element name="Period_x0020_start" ma:index="10" nillable="true" ma:displayName="Period start" ma:format="DateOnly" ma:internalName="Period_x0020_start">
      <xsd:simpleType>
        <xsd:restriction base="dms:DateTime"/>
      </xsd:simpleType>
    </xsd:element>
    <xsd:element name="Period_x0020_end" ma:index="11" nillable="true" ma:displayName="Period end" ma:format="DateOnly" ma:internalName="Period_x0020_end">
      <xsd:simpleType>
        <xsd:restriction base="dms:DateTime"/>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6" nillable="true" ma:displayName="Taxonomy Catch All Column" ma:hidden="true" ma:list="{bb80481a-0eda-4050-92b4-209d87b2a08d}" ma:internalName="TaxCatchAll" ma:showField="CatchAllData" ma:web="71402401-ee9a-4cfa-82a8-ebbd88d5d766">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bb80481a-0eda-4050-92b4-209d87b2a08d}" ma:internalName="TaxCatchAllLabel" ma:readOnly="true" ma:showField="CatchAllDataLabel" ma:web="71402401-ee9a-4cfa-82a8-ebbd88d5d766">
      <xsd:complexType>
        <xsd:complexContent>
          <xsd:extension base="dms:MultiChoiceLookup">
            <xsd:sequence>
              <xsd:element name="Value" type="dms:Lookup" maxOccurs="unbounded" minOccurs="0"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_dlc_DocId" ma:index="30"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5538c5-eb89-48ba-a372-0acd5d6f1291" elementFormDefault="qualified">
    <xsd:import namespace="http://schemas.microsoft.com/office/2006/documentManagement/types"/>
    <xsd:import namespace="http://schemas.microsoft.com/office/infopath/2007/PartnerControls"/>
    <xsd:element name="pe3ed4b1638e49a0a22b56e84a30773f" ma:index="36" nillable="true" ma:taxonomy="true" ma:internalName="pe3ed4b1638e49a0a22b56e84a30773f" ma:taxonomyFieldName="Key_x0020_Issue" ma:displayName="Key Issue" ma:default="3;#- No key issue|32056555-74b8-4174-9beb-b0d6d010855f" ma:fieldId="{9e3ed4b1-638e-49a0-a22b-56e84a30773f}" ma:sspId="ab0fa9d1-5a5a-4c9b-9c24-b67ffc5bb60f" ma:termSetId="9e1982ce-954c-4bc3-b476-a56a519943c0" ma:anchorId="a8ad2310-98ac-4bbe-9c4d-0a57da7951af"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Summary"/>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5B525A-4AB8-42DF-A538-08F603662F51}">
  <ds:schemaRefs>
    <ds:schemaRef ds:uri="http://schemas.microsoft.com/sharepoint/events"/>
  </ds:schemaRefs>
</ds:datastoreItem>
</file>

<file path=customXml/itemProps2.xml><?xml version="1.0" encoding="utf-8"?>
<ds:datastoreItem xmlns:ds="http://schemas.openxmlformats.org/officeDocument/2006/customXml" ds:itemID="{D1A83A80-8B1E-4241-95EC-19C3EDAD288A}">
  <ds:schemaRefs>
    <ds:schemaRef ds:uri="Microsoft.SharePoint.Taxonomy.ContentTypeSync"/>
  </ds:schemaRefs>
</ds:datastoreItem>
</file>

<file path=customXml/itemProps3.xml><?xml version="1.0" encoding="utf-8"?>
<ds:datastoreItem xmlns:ds="http://schemas.openxmlformats.org/officeDocument/2006/customXml" ds:itemID="{CBFF0110-8CE7-476A-A66A-DF955163F8F2}">
  <ds:schemaRefs>
    <ds:schemaRef ds:uri="http://schemas.openxmlformats.org/officeDocument/2006/bibliography"/>
  </ds:schemaRefs>
</ds:datastoreItem>
</file>

<file path=customXml/itemProps4.xml><?xml version="1.0" encoding="utf-8"?>
<ds:datastoreItem xmlns:ds="http://schemas.openxmlformats.org/officeDocument/2006/customXml" ds:itemID="{D680C2D6-6894-4C9D-9DF3-1C7EFB127E81}">
  <ds:schemaRefs>
    <ds:schemaRef ds:uri="http://schemas.microsoft.com/office/2006/metadata/properties"/>
    <ds:schemaRef ds:uri="http://schemas.microsoft.com/office/infopath/2007/PartnerControls"/>
    <ds:schemaRef ds:uri="71402401-ee9a-4cfa-82a8-ebbd88d5d766"/>
    <ds:schemaRef ds:uri="a8a2af44-4b8d-404b-a8bd-4186350a523c"/>
    <ds:schemaRef ds:uri="775538c5-eb89-48ba-a372-0acd5d6f1291"/>
    <ds:schemaRef ds:uri="http://schemas.microsoft.com/sharepoint/v3"/>
  </ds:schemaRefs>
</ds:datastoreItem>
</file>

<file path=customXml/itemProps5.xml><?xml version="1.0" encoding="utf-8"?>
<ds:datastoreItem xmlns:ds="http://schemas.openxmlformats.org/officeDocument/2006/customXml" ds:itemID="{A289908A-52A0-4EEB-AE75-282CD826DD7D}">
  <ds:schemaRefs>
    <ds:schemaRef ds:uri="http://schemas.microsoft.com/sharepoint/v3/contenttype/forms"/>
  </ds:schemaRefs>
</ds:datastoreItem>
</file>

<file path=customXml/itemProps6.xml><?xml version="1.0" encoding="utf-8"?>
<ds:datastoreItem xmlns:ds="http://schemas.openxmlformats.org/officeDocument/2006/customXml" ds:itemID="{CEB16FE6-83AC-4092-A220-133269EB2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402401-ee9a-4cfa-82a8-ebbd88d5d766"/>
    <ds:schemaRef ds:uri="a8a2af44-4b8d-404b-a8bd-4186350a523c"/>
    <ds:schemaRef ds:uri="775538c5-eb89-48ba-a372-0acd5d6f1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913</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ICRC</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Nefti Eboni BEMPONG</dc:creator>
  <cp:keywords/>
  <dc:description/>
  <cp:lastModifiedBy>Aleksandra Kokanovic</cp:lastModifiedBy>
  <cp:revision>2</cp:revision>
  <cp:lastPrinted>2019-07-03T11:59:00Z</cp:lastPrinted>
  <dcterms:created xsi:type="dcterms:W3CDTF">2023-06-02T17:13:00Z</dcterms:created>
  <dcterms:modified xsi:type="dcterms:W3CDTF">2023-06-02T17:13:00Z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0x010100F306B2604BE44180B8B82333BE64DF4E005A5CBB6C53404A16AAEA5338BA523999000A8DC57427FE8447B6BC7D6E7F551E9D</vt:lpwstr>
  </property>
  <property fmtid="{D5CDD505-2E9C-101B-9397-08002B2CF9AE}" pid="3" name="ICRCIMP_RMUnitInCharge">
    <vt:lpwstr>31;#GVA_OP_ASSIST_HELP|c53394dc-0df0-45c5-8220-3bdc97c5e4ad</vt:lpwstr>
  </property>
  <property fmtid="{D5CDD505-2E9C-101B-9397-08002B2CF9AE}" pid="4" name="ICRCIMP_ManageAccess">
    <vt:bool>false</vt:bool>
  </property>
  <property fmtid="{D5CDD505-2E9C-101B-9397-08002B2CF9AE}" pid="5" name="_dlc_DocIdItemGuid">
    <vt:lpwstr>642d1fc7-38c2-43a5-bddc-055911783395</vt:lpwstr>
  </property>
  <property fmtid="{D5CDD505-2E9C-101B-9397-08002B2CF9AE}" pid="6" name="ICRCIMP_IHT">
    <vt:lpwstr>4;#Internal|23eb6094-56fc-4ad4-8ae2-cf1575a694f0</vt:lpwstr>
  </property>
  <property fmtid="{D5CDD505-2E9C-101B-9397-08002B2CF9AE}" pid="7" name="ICRCIMP_Country">
    <vt:lpwstr>2;#No Country|1f55df4f-c103-4303-b974-426a8e7d1d06</vt:lpwstr>
  </property>
  <property fmtid="{D5CDD505-2E9C-101B-9397-08002B2CF9AE}" pid="8" name="ICRCIMP_OrganizationalAccronym">
    <vt:lpwstr/>
  </property>
  <property fmtid="{D5CDD505-2E9C-101B-9397-08002B2CF9AE}" pid="9" name="Key Issue">
    <vt:lpwstr>3;#- No key issue|32056555-74b8-4174-9beb-b0d6d010855f</vt:lpwstr>
  </property>
  <property fmtid="{D5CDD505-2E9C-101B-9397-08002B2CF9AE}" pid="10" name="ICRCIMP_DocumentType">
    <vt:lpwstr/>
  </property>
  <property fmtid="{D5CDD505-2E9C-101B-9397-08002B2CF9AE}" pid="11" name="ICRCIMP_BusinessFunction">
    <vt:lpwstr>1;#Assistance|9015aaae-65d7-4217-8889-581aaffe05a3</vt:lpwstr>
  </property>
  <property fmtid="{D5CDD505-2E9C-101B-9397-08002B2CF9AE}" pid="12" name="ICRCIMP_Keyword">
    <vt:lpwstr/>
  </property>
  <property fmtid="{D5CDD505-2E9C-101B-9397-08002B2CF9AE}" pid="13" name="ICRCIMP_KeyIssue">
    <vt:lpwstr/>
  </property>
  <property fmtid="{D5CDD505-2E9C-101B-9397-08002B2CF9AE}" pid="14" name="ICRCIMP_OrganizationalUnit">
    <vt:lpwstr/>
  </property>
  <property fmtid="{D5CDD505-2E9C-101B-9397-08002B2CF9AE}" pid="15" name="ICRCIMP_Site_H">
    <vt:lpwstr/>
  </property>
  <property fmtid="{D5CDD505-2E9C-101B-9397-08002B2CF9AE}" pid="16" name="ICRCIMP_Site">
    <vt:lpwstr/>
  </property>
  <property fmtid="{D5CDD505-2E9C-101B-9397-08002B2CF9AE}" pid="17" name="ICRCIMP_OrganizationalUnit_H">
    <vt:lpwstr/>
  </property>
</Properties>
</file>