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FA49" w14:textId="77777777" w:rsidR="007F1EB8" w:rsidRPr="007F1EB8" w:rsidRDefault="007F1EB8" w:rsidP="007F1EB8">
      <w:pPr>
        <w:spacing w:after="0"/>
        <w:rPr>
          <w:color w:val="000000" w:themeColor="text1"/>
          <w:sz w:val="24"/>
          <w:lang w:val="en-GB"/>
        </w:rPr>
      </w:pPr>
    </w:p>
    <w:p w14:paraId="13F480F5" w14:textId="035229A5" w:rsidR="00241C97" w:rsidRPr="002D4B6E" w:rsidRDefault="000A61F8" w:rsidP="007F1EB8">
      <w:pPr>
        <w:spacing w:after="0"/>
        <w:jc w:val="center"/>
        <w:rPr>
          <w:b/>
          <w:sz w:val="32"/>
          <w:u w:val="single"/>
          <w:lang w:val="en-US"/>
        </w:rPr>
      </w:pPr>
      <w:r w:rsidRPr="002D4B6E">
        <w:rPr>
          <w:b/>
          <w:sz w:val="32"/>
          <w:u w:val="single"/>
          <w:lang w:val="en-US"/>
        </w:rPr>
        <w:t xml:space="preserve">Cours Health Emergencies in Large Populations (H.E.L.P.) </w:t>
      </w:r>
    </w:p>
    <w:p w14:paraId="163C9638" w14:textId="77777777" w:rsidR="00241C97" w:rsidRDefault="00241C97" w:rsidP="007F1EB8">
      <w:pPr>
        <w:spacing w:after="0"/>
        <w:jc w:val="center"/>
        <w:rPr>
          <w:b/>
          <w:sz w:val="32"/>
          <w:lang w:val="en-GB"/>
        </w:rPr>
      </w:pPr>
    </w:p>
    <w:p w14:paraId="42E84771" w14:textId="77C3FE89" w:rsidR="007F1EB8" w:rsidRDefault="000A61F8" w:rsidP="007F1EB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Maladies transmissibles : maladies diarrhéiques et choléra</w:t>
      </w:r>
    </w:p>
    <w:p w14:paraId="14036A27" w14:textId="38F532AF" w:rsidR="00E5511B" w:rsidRDefault="007F1EB8" w:rsidP="007F1EB8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Temps requis : 90 minutes</w:t>
      </w:r>
    </w:p>
    <w:p w14:paraId="31A6322D" w14:textId="77777777" w:rsidR="007F1EB8" w:rsidRPr="007F1EB8" w:rsidRDefault="007F1EB8" w:rsidP="007F1EB8">
      <w:pPr>
        <w:spacing w:after="0"/>
        <w:jc w:val="center"/>
        <w:rPr>
          <w:b/>
          <w:color w:val="FF0000"/>
          <w:sz w:val="32"/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4394"/>
        <w:gridCol w:w="6379"/>
      </w:tblGrid>
      <w:tr w:rsidR="00304D3A" w:rsidRPr="000A61F8" w14:paraId="594FF7B4" w14:textId="77777777" w:rsidTr="00304D3A">
        <w:tc>
          <w:tcPr>
            <w:tcW w:w="3681" w:type="dxa"/>
            <w:shd w:val="clear" w:color="auto" w:fill="DEEAF6" w:themeFill="accent1" w:themeFillTint="33"/>
          </w:tcPr>
          <w:p w14:paraId="68F0CD35" w14:textId="6B057232" w:rsidR="00304D3A" w:rsidRPr="000A0E8D" w:rsidRDefault="00304D3A" w:rsidP="00304D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13C22CBD" w14:textId="716C75D1" w:rsidR="00304D3A" w:rsidRPr="002D4B6E" w:rsidRDefault="00304D3A" w:rsidP="00304D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lang w:val="fr-CH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1B3B10F9" w14:textId="1441EF1C" w:rsidR="00304D3A" w:rsidRPr="000A0E8D" w:rsidRDefault="00304D3A" w:rsidP="00304D3A">
            <w:pPr>
              <w:pStyle w:val="ListParagraph"/>
              <w:ind w:left="0"/>
              <w:rPr>
                <w:rFonts w:cstheme="minorHAnsi"/>
                <w:b/>
                <w:sz w:val="24"/>
              </w:rPr>
            </w:pPr>
            <w:r>
              <w:rPr>
                <w:b/>
                <w:sz w:val="24"/>
              </w:rPr>
              <w:t>Objectifs de mise en œuvre : étapes intermédiaires et complémentaires permettant d’atteindre les objectifs pédagogiques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4406F0C8" w14:textId="4AAD3238" w:rsidR="00304D3A" w:rsidRPr="000A0E8D" w:rsidRDefault="00304D3A" w:rsidP="00304D3A">
            <w:pPr>
              <w:pStyle w:val="ListParagraph"/>
              <w:ind w:left="0"/>
              <w:rPr>
                <w:rFonts w:cstheme="minorHAnsi"/>
                <w:b/>
                <w:sz w:val="24"/>
              </w:rPr>
            </w:pPr>
            <w:r>
              <w:rPr>
                <w:b/>
                <w:sz w:val="24"/>
              </w:rPr>
              <w:t>Points essentiels / points de référence</w:t>
            </w:r>
          </w:p>
        </w:tc>
      </w:tr>
      <w:tr w:rsidR="00E1349A" w:rsidRPr="000A61F8" w14:paraId="25226B86" w14:textId="77777777" w:rsidTr="007B3751">
        <w:tc>
          <w:tcPr>
            <w:tcW w:w="3681" w:type="dxa"/>
            <w:vMerge w:val="restart"/>
          </w:tcPr>
          <w:p w14:paraId="620C1655" w14:textId="6FC8C3FB" w:rsidR="00E1349A" w:rsidRPr="000A0E8D" w:rsidRDefault="00E1349A" w:rsidP="0003430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l’importance des maladies diarrhéiques lors de crises et d’en décrire les facteurs causaux.</w:t>
            </w:r>
          </w:p>
        </w:tc>
        <w:tc>
          <w:tcPr>
            <w:tcW w:w="4394" w:type="dxa"/>
          </w:tcPr>
          <w:p w14:paraId="04C1B59E" w14:textId="77777777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tabs>
                <w:tab w:val="left" w:pos="545"/>
              </w:tabs>
              <w:ind w:left="460" w:hanging="460"/>
              <w:rPr>
                <w:rFonts w:cstheme="minorHAnsi"/>
                <w:sz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la charge des maladies diarrhéiques.  </w:t>
            </w:r>
          </w:p>
        </w:tc>
        <w:tc>
          <w:tcPr>
            <w:tcW w:w="6379" w:type="dxa"/>
          </w:tcPr>
          <w:p w14:paraId="16610FBF" w14:textId="2B4E323D" w:rsidR="00E1349A" w:rsidRPr="000A0E8D" w:rsidRDefault="00E1349A" w:rsidP="009041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Définition des maladies diarrhéiques </w:t>
            </w:r>
          </w:p>
          <w:p w14:paraId="4055276A" w14:textId="703B0159" w:rsidR="00E1349A" w:rsidRPr="000A0E8D" w:rsidRDefault="00E1349A" w:rsidP="008444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Spectre des maladies diarrhéiques (agents, types cliniques) </w:t>
            </w:r>
          </w:p>
          <w:p w14:paraId="62367F46" w14:textId="61015532" w:rsidR="00E1349A" w:rsidRPr="000A0E8D" w:rsidRDefault="00E1349A" w:rsidP="0003430C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Morbidité et mortalité </w:t>
            </w:r>
          </w:p>
          <w:p w14:paraId="6D48356F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Dans le monde, exemples de situations de crise</w:t>
            </w:r>
          </w:p>
          <w:p w14:paraId="2510F06D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Les maladies diarrhéiques les plus prévalentes en situation de crise</w:t>
            </w:r>
          </w:p>
          <w:p w14:paraId="2E736A5B" w14:textId="77777777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Groupes de population les plus affectés</w:t>
            </w:r>
          </w:p>
          <w:p w14:paraId="0B2E5747" w14:textId="7152BA09" w:rsidR="00E1349A" w:rsidRPr="000A0E8D" w:rsidRDefault="00E1349A" w:rsidP="00304D3A">
            <w:pPr>
              <w:pStyle w:val="ListParagraph"/>
              <w:numPr>
                <w:ilvl w:val="0"/>
                <w:numId w:val="17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Principale cause de décès pour cause de diarrhée </w:t>
            </w:r>
          </w:p>
          <w:p w14:paraId="5811276D" w14:textId="540F161D" w:rsidR="00E1349A" w:rsidRPr="000A0E8D" w:rsidRDefault="00E1349A" w:rsidP="008444DF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Cercle vicieux de la malnutrition – maladies diarrhéiques (diarrhée chronique) </w:t>
            </w:r>
            <w:r>
              <w:rPr>
                <w:color w:val="0000FF"/>
                <w:sz w:val="24"/>
              </w:rPr>
              <w:t>– lien vers le module Nutrition et soutien aux moyens de subsistance</w:t>
            </w:r>
          </w:p>
        </w:tc>
      </w:tr>
      <w:tr w:rsidR="00E1349A" w:rsidRPr="000A61F8" w14:paraId="4C2919C2" w14:textId="77777777" w:rsidTr="007B3751">
        <w:tc>
          <w:tcPr>
            <w:tcW w:w="3681" w:type="dxa"/>
            <w:vMerge/>
          </w:tcPr>
          <w:p w14:paraId="3483AEE0" w14:textId="2803B766" w:rsidR="00E1349A" w:rsidRPr="002D4B6E" w:rsidRDefault="00E1349A" w:rsidP="00A021E7">
            <w:pPr>
              <w:pStyle w:val="Normal1"/>
              <w:rPr>
                <w:rFonts w:asciiTheme="minorHAnsi" w:hAnsiTheme="minorHAnsi" w:cstheme="minorHAnsi"/>
                <w:i/>
                <w:sz w:val="24"/>
                <w:szCs w:val="22"/>
                <w:lang w:val="fr-CH"/>
              </w:rPr>
            </w:pPr>
          </w:p>
        </w:tc>
        <w:tc>
          <w:tcPr>
            <w:tcW w:w="4394" w:type="dxa"/>
          </w:tcPr>
          <w:p w14:paraId="3AD88DE2" w14:textId="2D684011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d’identifier les facteurs de risque des maladies diarrhéiques. </w:t>
            </w:r>
          </w:p>
        </w:tc>
        <w:tc>
          <w:tcPr>
            <w:tcW w:w="6379" w:type="dxa"/>
          </w:tcPr>
          <w:p w14:paraId="31030444" w14:textId="72FCA24D" w:rsidR="00E1349A" w:rsidRPr="000A0E8D" w:rsidRDefault="00E1349A" w:rsidP="00FD08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Voie de transmission</w:t>
            </w:r>
          </w:p>
          <w:p w14:paraId="60EB4AEC" w14:textId="2E4B22C1" w:rsidR="00E1349A" w:rsidRPr="000A0E8D" w:rsidRDefault="00E1349A" w:rsidP="00304D3A">
            <w:pPr>
              <w:pStyle w:val="ListParagraph"/>
              <w:numPr>
                <w:ilvl w:val="1"/>
                <w:numId w:val="1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Diagramme F </w:t>
            </w:r>
            <w:r>
              <w:rPr>
                <w:color w:val="0000FF"/>
                <w:sz w:val="24"/>
              </w:rPr>
              <w:t>– voir 2.1 ci-dessous</w:t>
            </w:r>
          </w:p>
          <w:p w14:paraId="78A0CEC3" w14:textId="1CC6000D" w:rsidR="00E1349A" w:rsidRPr="000A0E8D" w:rsidRDefault="00E1349A" w:rsidP="00304D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Les situations qui augmentent le risque de transmission</w:t>
            </w:r>
          </w:p>
        </w:tc>
      </w:tr>
      <w:tr w:rsidR="00E1349A" w:rsidRPr="000A61F8" w14:paraId="79916379" w14:textId="77777777" w:rsidTr="00657881">
        <w:trPr>
          <w:trHeight w:val="1654"/>
        </w:trPr>
        <w:tc>
          <w:tcPr>
            <w:tcW w:w="3681" w:type="dxa"/>
            <w:vMerge w:val="restart"/>
          </w:tcPr>
          <w:p w14:paraId="5FCE03B6" w14:textId="77777777" w:rsidR="00E1349A" w:rsidRPr="000A0E8D" w:rsidRDefault="00E1349A" w:rsidP="0085454A">
            <w:pPr>
              <w:pStyle w:val="Normal1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d’identifier une réponse adaptée de contrôle du choléra en situation de crise aiguë et prolongée.  </w:t>
            </w:r>
          </w:p>
          <w:p w14:paraId="7D714DF5" w14:textId="77777777" w:rsidR="00E1349A" w:rsidRPr="002D4B6E" w:rsidRDefault="00E1349A">
            <w:pPr>
              <w:rPr>
                <w:rFonts w:cstheme="minorHAnsi"/>
                <w:sz w:val="24"/>
                <w:lang w:val="fr-CH"/>
              </w:rPr>
            </w:pPr>
          </w:p>
        </w:tc>
        <w:tc>
          <w:tcPr>
            <w:tcW w:w="4394" w:type="dxa"/>
          </w:tcPr>
          <w:p w14:paraId="7EC89EF8" w14:textId="77777777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les principaux éléments de contrôle du choléra afin de réduire la morbidité et la mortalité.</w:t>
            </w:r>
          </w:p>
        </w:tc>
        <w:tc>
          <w:tcPr>
            <w:tcW w:w="6379" w:type="dxa"/>
          </w:tcPr>
          <w:p w14:paraId="718790BE" w14:textId="77777777" w:rsidR="00E1349A" w:rsidRPr="000A0E8D" w:rsidRDefault="00E1349A" w:rsidP="00C103DB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Principaux éléments : </w:t>
            </w:r>
          </w:p>
          <w:p w14:paraId="78C8C494" w14:textId="77777777" w:rsidR="00E1349A" w:rsidRPr="00C8572E" w:rsidRDefault="00E1349A" w:rsidP="00A421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Détection précoce (surveillance) et réponse immédiate</w:t>
            </w:r>
          </w:p>
          <w:p w14:paraId="492A4FD6" w14:textId="78FD54E0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Confirmation du diagnostic </w:t>
            </w:r>
          </w:p>
          <w:p w14:paraId="29AE016C" w14:textId="00E0E26F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Une seule suspicion de cas de choléra exige une action</w:t>
            </w:r>
          </w:p>
          <w:p w14:paraId="77459822" w14:textId="77777777" w:rsidR="00E1349A" w:rsidRPr="00C8572E" w:rsidRDefault="00E1349A" w:rsidP="00CB79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Détection précoce des cas et traitement/soins</w:t>
            </w:r>
          </w:p>
          <w:p w14:paraId="43EA56EC" w14:textId="3304543E" w:rsidR="00E1349A" w:rsidRPr="00C8572E" w:rsidRDefault="00E1349A" w:rsidP="00CB793F">
            <w:pPr>
              <w:pStyle w:val="ListParagraph"/>
              <w:numPr>
                <w:ilvl w:val="2"/>
                <w:numId w:val="5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Définition des cas </w:t>
            </w:r>
            <w:r>
              <w:rPr>
                <w:color w:val="0000FF"/>
                <w:sz w:val="24"/>
              </w:rPr>
              <w:t>– Lien vers les autres modules, p. ex. « Maladies transmissibles : enquêtes sur les épidémies et contrôle », « Épidémiologie : surveillance et systèmes d’alerte précoce »</w:t>
            </w:r>
          </w:p>
          <w:p w14:paraId="10157E45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% de personnes infectées nécessitant un traitement </w:t>
            </w:r>
          </w:p>
          <w:p w14:paraId="2399CB13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Accès aux soins de santé adéquats (y compris nutrition) </w:t>
            </w:r>
          </w:p>
          <w:p w14:paraId="5E105F9B" w14:textId="77777777" w:rsidR="00E1349A" w:rsidRPr="00C8572E" w:rsidRDefault="00E1349A" w:rsidP="00CB793F">
            <w:pPr>
              <w:pStyle w:val="ListParagraph"/>
              <w:numPr>
                <w:ilvl w:val="2"/>
                <w:numId w:val="6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Chiffres clés pour la planification du traitement/des soins</w:t>
            </w:r>
          </w:p>
          <w:p w14:paraId="3530B6FE" w14:textId="77777777" w:rsidR="00E1349A" w:rsidRPr="00C8572E" w:rsidRDefault="00E1349A" w:rsidP="00CB79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Diminution de la transmission </w:t>
            </w:r>
          </w:p>
          <w:p w14:paraId="28E90784" w14:textId="77777777" w:rsidR="00E1349A" w:rsidRPr="00C8572E" w:rsidRDefault="00E1349A" w:rsidP="00CB793F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Eau, assainissement, hygiène</w:t>
            </w:r>
          </w:p>
          <w:p w14:paraId="0ED2133F" w14:textId="0CCB522A" w:rsidR="00E1349A" w:rsidRPr="00C8572E" w:rsidRDefault="00E1349A" w:rsidP="00CB793F">
            <w:pPr>
              <w:pStyle w:val="ListParagraph"/>
              <w:numPr>
                <w:ilvl w:val="0"/>
                <w:numId w:val="7"/>
              </w:numPr>
              <w:ind w:left="109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Diagramme F </w:t>
            </w:r>
            <w:r>
              <w:rPr>
                <w:color w:val="0000FF"/>
                <w:sz w:val="24"/>
              </w:rPr>
              <w:t>– lien avec le module « Génie de santé publique »</w:t>
            </w:r>
          </w:p>
          <w:p w14:paraId="2C390585" w14:textId="77777777" w:rsidR="00E1349A" w:rsidRPr="00C8572E" w:rsidRDefault="00E1349A" w:rsidP="00C103DB">
            <w:pPr>
              <w:pStyle w:val="ListParagraph"/>
              <w:numPr>
                <w:ilvl w:val="0"/>
                <w:numId w:val="7"/>
              </w:numPr>
              <w:ind w:left="109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Mesures d’hygiène protectrices </w:t>
            </w:r>
          </w:p>
          <w:p w14:paraId="22958A8C" w14:textId="4451F77F" w:rsidR="00E1349A" w:rsidRPr="00C8572E" w:rsidRDefault="00E1349A" w:rsidP="00C103DB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Dans la communauté, les centres de traitement ; gestion des dépouilles</w:t>
            </w:r>
          </w:p>
          <w:p w14:paraId="5DF0DE6C" w14:textId="77777777" w:rsidR="00E1349A" w:rsidRPr="00C8572E" w:rsidRDefault="00E1349A" w:rsidP="00C103DB">
            <w:pPr>
              <w:pStyle w:val="ListParagraph"/>
              <w:numPr>
                <w:ilvl w:val="1"/>
                <w:numId w:val="3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Vaccination </w:t>
            </w:r>
          </w:p>
          <w:p w14:paraId="7C91AC99" w14:textId="77777777" w:rsidR="00E1349A" w:rsidRPr="000A0E8D" w:rsidRDefault="00E1349A" w:rsidP="00C103D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Besoin d’une approche multidisciplinaire/multisectorielle </w:t>
            </w:r>
          </w:p>
          <w:p w14:paraId="5067B3E8" w14:textId="77777777" w:rsidR="00E1349A" w:rsidRPr="000A0E8D" w:rsidRDefault="00E1349A" w:rsidP="00230A14">
            <w:pPr>
              <w:pStyle w:val="ListParagraph"/>
              <w:numPr>
                <w:ilvl w:val="0"/>
                <w:numId w:val="8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Mécanisme de coordination lors de crises aiguës et prolongées</w:t>
            </w:r>
          </w:p>
          <w:p w14:paraId="7B9761D7" w14:textId="2C351F53" w:rsidR="00E1349A" w:rsidRPr="000A0E8D" w:rsidRDefault="00E1349A" w:rsidP="00657881">
            <w:pPr>
              <w:pStyle w:val="ListParagraph"/>
              <w:numPr>
                <w:ilvl w:val="1"/>
                <w:numId w:val="8"/>
              </w:numPr>
              <w:ind w:left="1094" w:hanging="3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Lien avec le GTFCC </w:t>
            </w:r>
            <w:r>
              <w:rPr>
                <w:color w:val="0000FF"/>
                <w:sz w:val="24"/>
              </w:rPr>
              <w:t>(voir 2.2 ci-après)</w:t>
            </w:r>
          </w:p>
        </w:tc>
      </w:tr>
      <w:tr w:rsidR="00E1349A" w:rsidRPr="000A0E8D" w14:paraId="021F227B" w14:textId="77777777" w:rsidTr="007B3751">
        <w:tc>
          <w:tcPr>
            <w:tcW w:w="3681" w:type="dxa"/>
            <w:vMerge/>
          </w:tcPr>
          <w:p w14:paraId="59A20839" w14:textId="77777777" w:rsidR="00E1349A" w:rsidRPr="002D4B6E" w:rsidRDefault="00E1349A">
            <w:pPr>
              <w:rPr>
                <w:rFonts w:cstheme="minorHAnsi"/>
                <w:sz w:val="24"/>
                <w:lang w:val="fr-CH"/>
              </w:rPr>
            </w:pPr>
          </w:p>
        </w:tc>
        <w:tc>
          <w:tcPr>
            <w:tcW w:w="4394" w:type="dxa"/>
          </w:tcPr>
          <w:p w14:paraId="382268DF" w14:textId="0144BFFD" w:rsidR="00E1349A" w:rsidRPr="000A0E8D" w:rsidRDefault="00E1349A" w:rsidP="000A0E8D">
            <w:pPr>
              <w:pStyle w:val="ListParagraph"/>
              <w:numPr>
                <w:ilvl w:val="1"/>
                <w:numId w:val="9"/>
              </w:numPr>
              <w:ind w:left="460" w:hanging="460"/>
              <w:rPr>
                <w:rFonts w:cstheme="minorHAnsi"/>
                <w:sz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d’énumérer les points clés de l’initiative mondiale de 2017 pour réduire de 90 % les décès dus au choléra d’ici 2030. </w:t>
            </w:r>
          </w:p>
        </w:tc>
        <w:tc>
          <w:tcPr>
            <w:tcW w:w="6379" w:type="dxa"/>
          </w:tcPr>
          <w:p w14:paraId="1B1DF7A6" w14:textId="77777777" w:rsidR="00E1349A" w:rsidRPr="000A0E8D" w:rsidRDefault="00E1349A" w:rsidP="00230A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>
              <w:rPr>
                <w:sz w:val="24"/>
              </w:rPr>
              <w:t>Groupe spécial mondial de lutte contre le choléra (GTFCC)</w:t>
            </w:r>
          </w:p>
          <w:p w14:paraId="67B25D77" w14:textId="77777777" w:rsidR="00E1349A" w:rsidRPr="000A0E8D" w:rsidRDefault="00E1349A" w:rsidP="0085454A">
            <w:pPr>
              <w:pStyle w:val="ListParagraph"/>
              <w:numPr>
                <w:ilvl w:val="0"/>
                <w:numId w:val="4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>Mettre fin au choléra : feuille de route mondiale pour 2030</w:t>
            </w:r>
          </w:p>
          <w:p w14:paraId="40B886FB" w14:textId="77777777" w:rsidR="00E1349A" w:rsidRPr="000A0E8D" w:rsidRDefault="00E1349A" w:rsidP="009F1F3C">
            <w:pPr>
              <w:pStyle w:val="ListParagraph"/>
              <w:numPr>
                <w:ilvl w:val="0"/>
                <w:numId w:val="4"/>
              </w:numPr>
              <w:ind w:left="757"/>
              <w:rPr>
                <w:rFonts w:cstheme="minorHAnsi"/>
                <w:sz w:val="24"/>
              </w:rPr>
            </w:pPr>
            <w:r>
              <w:rPr>
                <w:sz w:val="24"/>
              </w:rPr>
              <w:t xml:space="preserve">Principaux points d’action  </w:t>
            </w:r>
          </w:p>
        </w:tc>
      </w:tr>
    </w:tbl>
    <w:p w14:paraId="7F7A6D3F" w14:textId="77777777" w:rsidR="009472EB" w:rsidRPr="000A0E8D" w:rsidRDefault="009472EB">
      <w:pPr>
        <w:rPr>
          <w:rFonts w:cstheme="minorHAnsi"/>
          <w:sz w:val="24"/>
        </w:rPr>
      </w:pPr>
      <w:r>
        <w:rPr>
          <w:sz w:val="24"/>
        </w:rPr>
        <w:lastRenderedPageBreak/>
        <w:t xml:space="preserve"> </w:t>
      </w:r>
    </w:p>
    <w:p w14:paraId="16BDFC4F" w14:textId="77777777" w:rsidR="009472EB" w:rsidRPr="000A0E8D" w:rsidRDefault="009472EB">
      <w:pPr>
        <w:rPr>
          <w:rFonts w:cstheme="minorHAnsi"/>
          <w:sz w:val="24"/>
          <w:lang w:val="en-GB"/>
        </w:rPr>
      </w:pPr>
    </w:p>
    <w:sectPr w:rsidR="009472EB" w:rsidRPr="000A0E8D" w:rsidSect="00E5511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3B5B" w14:textId="77777777" w:rsidR="0032659D" w:rsidRDefault="0032659D" w:rsidP="002722FB">
      <w:pPr>
        <w:spacing w:after="0" w:line="240" w:lineRule="auto"/>
      </w:pPr>
      <w:r>
        <w:separator/>
      </w:r>
    </w:p>
  </w:endnote>
  <w:endnote w:type="continuationSeparator" w:id="0">
    <w:p w14:paraId="021D78B7" w14:textId="77777777" w:rsidR="0032659D" w:rsidRDefault="0032659D" w:rsidP="0027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895A" w14:textId="77777777" w:rsidR="0032659D" w:rsidRDefault="0032659D" w:rsidP="002722FB">
      <w:pPr>
        <w:spacing w:after="0" w:line="240" w:lineRule="auto"/>
      </w:pPr>
      <w:r>
        <w:separator/>
      </w:r>
    </w:p>
  </w:footnote>
  <w:footnote w:type="continuationSeparator" w:id="0">
    <w:p w14:paraId="60E6DCB0" w14:textId="77777777" w:rsidR="0032659D" w:rsidRDefault="0032659D" w:rsidP="0027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3611" w14:textId="7383880A" w:rsidR="000A0E8D" w:rsidRPr="000A0E8D" w:rsidRDefault="000A0E8D">
    <w:pPr>
      <w:pStyle w:val="Header"/>
      <w:rPr>
        <w:sz w:val="24"/>
      </w:rPr>
    </w:pPr>
    <w:r>
      <w:rPr>
        <w:sz w:val="24"/>
      </w:rPr>
      <w:t>Version août 2019 – 2019Final</w:t>
    </w:r>
  </w:p>
  <w:p w14:paraId="5D59382F" w14:textId="77777777" w:rsidR="000A0E8D" w:rsidRDefault="000A0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0A4"/>
    <w:multiLevelType w:val="hybridMultilevel"/>
    <w:tmpl w:val="6ADA9B56"/>
    <w:lvl w:ilvl="0" w:tplc="5202A7F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B24"/>
    <w:multiLevelType w:val="hybridMultilevel"/>
    <w:tmpl w:val="88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A6C"/>
    <w:multiLevelType w:val="hybridMultilevel"/>
    <w:tmpl w:val="7390C870"/>
    <w:lvl w:ilvl="0" w:tplc="5202A7F8">
      <w:start w:val="3"/>
      <w:numFmt w:val="bullet"/>
      <w:lvlText w:val="-"/>
      <w:lvlJc w:val="left"/>
      <w:pPr>
        <w:ind w:left="2013" w:hanging="360"/>
      </w:pPr>
      <w:rPr>
        <w:rFonts w:ascii="Times New Roman" w:eastAsiaTheme="minorHAns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3" w15:restartNumberingAfterBreak="0">
    <w:nsid w:val="0B4468C3"/>
    <w:multiLevelType w:val="hybridMultilevel"/>
    <w:tmpl w:val="95067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A85"/>
    <w:multiLevelType w:val="multilevel"/>
    <w:tmpl w:val="506CC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14D96C2D"/>
    <w:multiLevelType w:val="hybridMultilevel"/>
    <w:tmpl w:val="45AC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71527"/>
    <w:multiLevelType w:val="hybridMultilevel"/>
    <w:tmpl w:val="61D46074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95933"/>
    <w:multiLevelType w:val="multilevel"/>
    <w:tmpl w:val="FE08F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327202A"/>
    <w:multiLevelType w:val="hybridMultilevel"/>
    <w:tmpl w:val="4E30E9B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DD76BC9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760E6"/>
    <w:multiLevelType w:val="hybridMultilevel"/>
    <w:tmpl w:val="5C826F3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5237A"/>
    <w:multiLevelType w:val="hybridMultilevel"/>
    <w:tmpl w:val="59301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99E"/>
    <w:multiLevelType w:val="hybridMultilevel"/>
    <w:tmpl w:val="D19AA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579C4"/>
    <w:multiLevelType w:val="hybridMultilevel"/>
    <w:tmpl w:val="45427D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202A7F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038B9"/>
    <w:multiLevelType w:val="hybridMultilevel"/>
    <w:tmpl w:val="3BC430E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82897"/>
    <w:multiLevelType w:val="hybridMultilevel"/>
    <w:tmpl w:val="E856ED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202A7F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26730"/>
    <w:multiLevelType w:val="hybridMultilevel"/>
    <w:tmpl w:val="F7C02D1E"/>
    <w:lvl w:ilvl="0" w:tplc="DD76BC96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D7620"/>
    <w:multiLevelType w:val="hybridMultilevel"/>
    <w:tmpl w:val="0428F230"/>
    <w:lvl w:ilvl="0" w:tplc="DD76BC9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18755">
    <w:abstractNumId w:val="8"/>
  </w:num>
  <w:num w:numId="2" w16cid:durableId="788402989">
    <w:abstractNumId w:val="9"/>
  </w:num>
  <w:num w:numId="3" w16cid:durableId="247077968">
    <w:abstractNumId w:val="13"/>
  </w:num>
  <w:num w:numId="4" w16cid:durableId="649987938">
    <w:abstractNumId w:val="2"/>
  </w:num>
  <w:num w:numId="5" w16cid:durableId="482621112">
    <w:abstractNumId w:val="14"/>
  </w:num>
  <w:num w:numId="6" w16cid:durableId="1271156877">
    <w:abstractNumId w:val="12"/>
  </w:num>
  <w:num w:numId="7" w16cid:durableId="26874564">
    <w:abstractNumId w:val="10"/>
  </w:num>
  <w:num w:numId="8" w16cid:durableId="716470840">
    <w:abstractNumId w:val="0"/>
  </w:num>
  <w:num w:numId="9" w16cid:durableId="348265599">
    <w:abstractNumId w:val="7"/>
  </w:num>
  <w:num w:numId="10" w16cid:durableId="1906066486">
    <w:abstractNumId w:val="4"/>
  </w:num>
  <w:num w:numId="11" w16cid:durableId="1940025443">
    <w:abstractNumId w:val="3"/>
  </w:num>
  <w:num w:numId="12" w16cid:durableId="880433604">
    <w:abstractNumId w:val="6"/>
  </w:num>
  <w:num w:numId="13" w16cid:durableId="437944163">
    <w:abstractNumId w:val="11"/>
  </w:num>
  <w:num w:numId="14" w16cid:durableId="571961813">
    <w:abstractNumId w:val="5"/>
  </w:num>
  <w:num w:numId="15" w16cid:durableId="1481656879">
    <w:abstractNumId w:val="16"/>
  </w:num>
  <w:num w:numId="16" w16cid:durableId="1986428327">
    <w:abstractNumId w:val="1"/>
  </w:num>
  <w:num w:numId="17" w16cid:durableId="543753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EB"/>
    <w:rsid w:val="00024697"/>
    <w:rsid w:val="0002767B"/>
    <w:rsid w:val="0003430C"/>
    <w:rsid w:val="000A0E8D"/>
    <w:rsid w:val="000A61F8"/>
    <w:rsid w:val="000C2C29"/>
    <w:rsid w:val="001420E4"/>
    <w:rsid w:val="00197671"/>
    <w:rsid w:val="001A0ABA"/>
    <w:rsid w:val="001B62DA"/>
    <w:rsid w:val="00225067"/>
    <w:rsid w:val="00230A14"/>
    <w:rsid w:val="00241C97"/>
    <w:rsid w:val="002454F9"/>
    <w:rsid w:val="002722FB"/>
    <w:rsid w:val="002D4B6E"/>
    <w:rsid w:val="002E0294"/>
    <w:rsid w:val="00304D3A"/>
    <w:rsid w:val="0030515D"/>
    <w:rsid w:val="00306B98"/>
    <w:rsid w:val="0032659D"/>
    <w:rsid w:val="00340B33"/>
    <w:rsid w:val="003956A2"/>
    <w:rsid w:val="003A1523"/>
    <w:rsid w:val="00406F9E"/>
    <w:rsid w:val="00450D10"/>
    <w:rsid w:val="004E158B"/>
    <w:rsid w:val="0054497F"/>
    <w:rsid w:val="005726E6"/>
    <w:rsid w:val="00584FB1"/>
    <w:rsid w:val="005D4853"/>
    <w:rsid w:val="006466EA"/>
    <w:rsid w:val="00657881"/>
    <w:rsid w:val="00713924"/>
    <w:rsid w:val="007204B5"/>
    <w:rsid w:val="00732236"/>
    <w:rsid w:val="007618B1"/>
    <w:rsid w:val="007B3751"/>
    <w:rsid w:val="007E7F9C"/>
    <w:rsid w:val="007F1EB8"/>
    <w:rsid w:val="00825E27"/>
    <w:rsid w:val="008444DF"/>
    <w:rsid w:val="0085454A"/>
    <w:rsid w:val="00870CA3"/>
    <w:rsid w:val="008F6A02"/>
    <w:rsid w:val="0090419B"/>
    <w:rsid w:val="00935D57"/>
    <w:rsid w:val="009472EB"/>
    <w:rsid w:val="009C5DD3"/>
    <w:rsid w:val="009F1F3C"/>
    <w:rsid w:val="00A021E7"/>
    <w:rsid w:val="00A0386A"/>
    <w:rsid w:val="00A16492"/>
    <w:rsid w:val="00A42160"/>
    <w:rsid w:val="00A513C8"/>
    <w:rsid w:val="00AD6F65"/>
    <w:rsid w:val="00AF3CAC"/>
    <w:rsid w:val="00B77D1E"/>
    <w:rsid w:val="00BA6BED"/>
    <w:rsid w:val="00BC29E5"/>
    <w:rsid w:val="00C041D3"/>
    <w:rsid w:val="00C103DB"/>
    <w:rsid w:val="00C14880"/>
    <w:rsid w:val="00C24C70"/>
    <w:rsid w:val="00C80D70"/>
    <w:rsid w:val="00C8479A"/>
    <w:rsid w:val="00C8572E"/>
    <w:rsid w:val="00CB793F"/>
    <w:rsid w:val="00CF737F"/>
    <w:rsid w:val="00D16300"/>
    <w:rsid w:val="00D4042F"/>
    <w:rsid w:val="00D811ED"/>
    <w:rsid w:val="00E1349A"/>
    <w:rsid w:val="00E37FF4"/>
    <w:rsid w:val="00E44233"/>
    <w:rsid w:val="00E5511B"/>
    <w:rsid w:val="00EB5BA2"/>
    <w:rsid w:val="00EC4AE6"/>
    <w:rsid w:val="00EC5C3D"/>
    <w:rsid w:val="00F90E3E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EC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19B"/>
    <w:pPr>
      <w:ind w:left="720"/>
      <w:contextualSpacing/>
    </w:pPr>
  </w:style>
  <w:style w:type="paragraph" w:customStyle="1" w:styleId="Normal1">
    <w:name w:val="Normal1"/>
    <w:rsid w:val="00A513C8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FB"/>
  </w:style>
  <w:style w:type="paragraph" w:styleId="Footer">
    <w:name w:val="footer"/>
    <w:basedOn w:val="Normal"/>
    <w:link w:val="FooterChar"/>
    <w:uiPriority w:val="99"/>
    <w:unhideWhenUsed/>
    <w:rsid w:val="0027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2019-08-28T22:00:00+00:00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TSASSIST-19-3338</_dlc_DocId>
    <_dlc_DocIdUrl xmlns="a8a2af44-4b8d-404b-a8bd-4186350a523c">
      <Url>https://collab.ext.icrc.org/sites/TS_ASSIST/_layouts/15/DocIdRedir.aspx?ID=TSASSIST-19-3338</Url>
      <Description>TSASSIST-19-3338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5DC5-9A4C-4E5B-A54A-0B66BD396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F93E9-B8B5-43EA-B904-07AA7043FA3F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4FCDF0-70C0-4190-9D59-782AF50ED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BF071-D7B6-439B-8FDF-C9B17924F4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8C23FC-DAC7-4A21-91F7-5EDE3058B9B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486CE6-C88E-41C1-B937-C1310470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2019-08-26T07:51:00Z</cp:lastPrinted>
  <dcterms:created xsi:type="dcterms:W3CDTF">2023-06-05T09:58:00Z</dcterms:created>
  <dcterms:modified xsi:type="dcterms:W3CDTF">2023-06-05T09:58:00Z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bc188711-5561-4a70-a731-3f14278660f6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