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0267" w14:textId="6EBF24FE" w:rsidR="00884DD5" w:rsidRPr="00890DFE" w:rsidRDefault="00304F97" w:rsidP="00884DD5">
      <w:pPr>
        <w:jc w:val="center"/>
        <w:rPr>
          <w:rFonts w:cstheme="minorHAnsi"/>
          <w:b/>
          <w:sz w:val="32"/>
          <w:szCs w:val="24"/>
          <w:u w:val="single"/>
          <w:lang w:val="en-US"/>
        </w:rPr>
      </w:pPr>
      <w:proofErr w:type="spellStart"/>
      <w:r w:rsidRPr="00890DFE">
        <w:rPr>
          <w:b/>
          <w:sz w:val="32"/>
          <w:u w:val="single"/>
          <w:lang w:val="en-US"/>
        </w:rPr>
        <w:t>Cours</w:t>
      </w:r>
      <w:proofErr w:type="spellEnd"/>
      <w:r w:rsidRPr="00890DFE">
        <w:rPr>
          <w:b/>
          <w:sz w:val="32"/>
          <w:u w:val="single"/>
          <w:lang w:val="en-US"/>
        </w:rPr>
        <w:t xml:space="preserve"> Health Emergencies in Large Populations (H.E.L.P.) </w:t>
      </w:r>
    </w:p>
    <w:p w14:paraId="3B55C21B" w14:textId="10A3D32E" w:rsidR="007570B7" w:rsidRPr="00884DD5" w:rsidRDefault="008E725A" w:rsidP="007570B7">
      <w:pPr>
        <w:jc w:val="center"/>
        <w:rPr>
          <w:rFonts w:cstheme="minorHAnsi"/>
          <w:b/>
          <w:sz w:val="32"/>
          <w:szCs w:val="24"/>
        </w:rPr>
      </w:pPr>
      <w:r>
        <w:rPr>
          <w:b/>
          <w:sz w:val="32"/>
        </w:rPr>
        <w:t>Nutrition et soutien aux moyens de subsistance</w:t>
      </w:r>
    </w:p>
    <w:p w14:paraId="7C8A8CE4" w14:textId="0296C592" w:rsidR="002446F0" w:rsidRPr="00884DD5" w:rsidRDefault="007570B7" w:rsidP="002446F0">
      <w:pPr>
        <w:jc w:val="center"/>
        <w:rPr>
          <w:rFonts w:cstheme="minorHAnsi"/>
          <w:b/>
          <w:color w:val="FF0000"/>
          <w:sz w:val="32"/>
          <w:szCs w:val="24"/>
        </w:rPr>
      </w:pPr>
      <w:r>
        <w:rPr>
          <w:b/>
          <w:color w:val="FF0000"/>
          <w:sz w:val="32"/>
        </w:rPr>
        <w:t>Temps requis : 450 minutes</w:t>
      </w:r>
    </w:p>
    <w:tbl>
      <w:tblPr>
        <w:tblStyle w:val="Tabellenraster"/>
        <w:tblW w:w="13994" w:type="dxa"/>
        <w:tblLook w:val="04A0" w:firstRow="1" w:lastRow="0" w:firstColumn="1" w:lastColumn="0" w:noHBand="0" w:noVBand="1"/>
      </w:tblPr>
      <w:tblGrid>
        <w:gridCol w:w="3964"/>
        <w:gridCol w:w="4820"/>
        <w:gridCol w:w="5210"/>
      </w:tblGrid>
      <w:tr w:rsidR="001F53B2" w:rsidRPr="007570B7" w14:paraId="451BBB62" w14:textId="77777777" w:rsidTr="008A2FE2">
        <w:tc>
          <w:tcPr>
            <w:tcW w:w="3964" w:type="dxa"/>
            <w:shd w:val="clear" w:color="auto" w:fill="DEEAF6" w:themeFill="accent1" w:themeFillTint="33"/>
          </w:tcPr>
          <w:p w14:paraId="451BBB5E" w14:textId="31C86DD0" w:rsidR="001F53B2" w:rsidRPr="007570B7" w:rsidRDefault="001F53B2" w:rsidP="00032D9C">
            <w:pPr>
              <w:rPr>
                <w:rFonts w:cstheme="minorHAnsi"/>
                <w:b/>
                <w:sz w:val="24"/>
                <w:szCs w:val="24"/>
              </w:rPr>
            </w:pPr>
            <w:r>
              <w:rPr>
                <w:b/>
                <w:sz w:val="24"/>
              </w:rPr>
              <w:t>Objectifs pédagogiques : ce que les participants doivent être en mesure de faire à l’issue de la formation</w:t>
            </w:r>
          </w:p>
          <w:p w14:paraId="451BBB5F" w14:textId="77777777" w:rsidR="001F53B2" w:rsidRPr="00890DFE" w:rsidRDefault="001F53B2" w:rsidP="00032D9C">
            <w:pPr>
              <w:autoSpaceDE w:val="0"/>
              <w:autoSpaceDN w:val="0"/>
              <w:adjustRightInd w:val="0"/>
              <w:rPr>
                <w:rFonts w:cstheme="minorHAnsi"/>
                <w:i/>
                <w:sz w:val="24"/>
                <w:szCs w:val="24"/>
                <w:lang w:val="fr-CH"/>
              </w:rPr>
            </w:pPr>
          </w:p>
        </w:tc>
        <w:tc>
          <w:tcPr>
            <w:tcW w:w="4820" w:type="dxa"/>
            <w:shd w:val="clear" w:color="auto" w:fill="DEEAF6" w:themeFill="accent1" w:themeFillTint="33"/>
          </w:tcPr>
          <w:p w14:paraId="451BBB60" w14:textId="77777777" w:rsidR="001F53B2" w:rsidRPr="007570B7" w:rsidRDefault="001F53B2" w:rsidP="00032D9C">
            <w:pPr>
              <w:rPr>
                <w:rFonts w:cstheme="minorHAnsi"/>
                <w:i/>
                <w:sz w:val="24"/>
                <w:szCs w:val="24"/>
              </w:rPr>
            </w:pPr>
            <w:r>
              <w:rPr>
                <w:b/>
                <w:sz w:val="24"/>
              </w:rPr>
              <w:t xml:space="preserve">Objectifs de mise en œuvre : étapes intermédiaires et complémentaires permettant d’atteindre les objectifs pédagogiques </w:t>
            </w:r>
            <w:r>
              <w:rPr>
                <w:sz w:val="24"/>
              </w:rPr>
              <w:t xml:space="preserve"> </w:t>
            </w:r>
          </w:p>
        </w:tc>
        <w:tc>
          <w:tcPr>
            <w:tcW w:w="5210" w:type="dxa"/>
            <w:shd w:val="clear" w:color="auto" w:fill="DEEAF6" w:themeFill="accent1" w:themeFillTint="33"/>
          </w:tcPr>
          <w:p w14:paraId="451BBB61" w14:textId="6438CC64" w:rsidR="001F53B2" w:rsidRPr="007570B7" w:rsidRDefault="001F53B2" w:rsidP="00032D9C">
            <w:pPr>
              <w:rPr>
                <w:rFonts w:cstheme="minorHAnsi"/>
                <w:b/>
                <w:sz w:val="24"/>
                <w:szCs w:val="24"/>
              </w:rPr>
            </w:pPr>
            <w:r>
              <w:rPr>
                <w:b/>
                <w:sz w:val="24"/>
              </w:rPr>
              <w:t>Points essentiels / points de référence</w:t>
            </w:r>
          </w:p>
        </w:tc>
      </w:tr>
      <w:tr w:rsidR="00C925B2" w:rsidRPr="007570B7" w14:paraId="451BBB6C" w14:textId="77777777" w:rsidTr="008A2FE2">
        <w:tc>
          <w:tcPr>
            <w:tcW w:w="3964" w:type="dxa"/>
            <w:vMerge w:val="restart"/>
          </w:tcPr>
          <w:p w14:paraId="451BBB63" w14:textId="7206014D" w:rsidR="00C925B2" w:rsidRPr="007570B7" w:rsidRDefault="00C925B2" w:rsidP="00C925B2">
            <w:pPr>
              <w:pStyle w:val="Listenabsatz"/>
              <w:numPr>
                <w:ilvl w:val="0"/>
                <w:numId w:val="1"/>
              </w:numPr>
              <w:autoSpaceDE w:val="0"/>
              <w:autoSpaceDN w:val="0"/>
              <w:adjustRightInd w:val="0"/>
              <w:rPr>
                <w:rFonts w:cstheme="minorHAnsi"/>
                <w:b/>
                <w:color w:val="000000" w:themeColor="text1"/>
                <w:sz w:val="24"/>
                <w:szCs w:val="24"/>
              </w:rPr>
            </w:pPr>
            <w:r>
              <w:rPr>
                <w:b/>
                <w:color w:val="000000" w:themeColor="text1"/>
                <w:sz w:val="24"/>
              </w:rPr>
              <w:t xml:space="preserve">Contexte général : </w:t>
            </w:r>
            <w:r>
              <w:rPr>
                <w:i/>
                <w:iCs/>
                <w:color w:val="000000" w:themeColor="text1"/>
                <w:sz w:val="24"/>
              </w:rPr>
              <w:t>Les participants sont en mesure de</w:t>
            </w:r>
            <w:r>
              <w:rPr>
                <w:color w:val="000000" w:themeColor="text1"/>
                <w:sz w:val="24"/>
              </w:rPr>
              <w:t xml:space="preserve"> discuter des effets des crises aigües et prolongées sur les moyens de subsistance, la sécurité alimentaire et l’état nutritionnel des populations.</w:t>
            </w:r>
          </w:p>
        </w:tc>
        <w:tc>
          <w:tcPr>
            <w:tcW w:w="4820" w:type="dxa"/>
          </w:tcPr>
          <w:p w14:paraId="451BBB64" w14:textId="48EDFD8D" w:rsidR="00C925B2" w:rsidRPr="007570B7" w:rsidRDefault="00C925B2" w:rsidP="00C925B2">
            <w:pPr>
              <w:pStyle w:val="Listenabsatz"/>
              <w:numPr>
                <w:ilvl w:val="1"/>
                <w:numId w:val="1"/>
              </w:numPr>
              <w:ind w:left="473" w:hanging="473"/>
              <w:rPr>
                <w:rFonts w:cstheme="minorHAnsi"/>
                <w:i/>
                <w:color w:val="0000FF"/>
                <w:sz w:val="24"/>
                <w:szCs w:val="24"/>
              </w:rPr>
            </w:pPr>
            <w:r>
              <w:rPr>
                <w:i/>
                <w:sz w:val="24"/>
              </w:rPr>
              <w:t xml:space="preserve">Les participants sont en mesure de </w:t>
            </w:r>
            <w:r>
              <w:rPr>
                <w:sz w:val="24"/>
              </w:rPr>
              <w:t xml:space="preserve">décrire les étapes d’une crise et les différentes situations de crise. </w:t>
            </w:r>
            <w:r>
              <w:rPr>
                <w:color w:val="0000FF"/>
                <w:sz w:val="24"/>
              </w:rPr>
              <w:t xml:space="preserve">Voir le module Contexte général. </w:t>
            </w:r>
          </w:p>
        </w:tc>
        <w:tc>
          <w:tcPr>
            <w:tcW w:w="5210" w:type="dxa"/>
            <w:vMerge w:val="restart"/>
          </w:tcPr>
          <w:p w14:paraId="451BBB65" w14:textId="6D24D779" w:rsidR="00C925B2" w:rsidRPr="007570B7" w:rsidRDefault="00C925B2" w:rsidP="00C925B2">
            <w:pPr>
              <w:pStyle w:val="Listenabsatz"/>
              <w:numPr>
                <w:ilvl w:val="0"/>
                <w:numId w:val="6"/>
              </w:numPr>
              <w:spacing w:line="276" w:lineRule="auto"/>
              <w:rPr>
                <w:rFonts w:cstheme="minorHAnsi"/>
                <w:sz w:val="24"/>
                <w:szCs w:val="24"/>
              </w:rPr>
            </w:pPr>
            <w:r>
              <w:rPr>
                <w:sz w:val="24"/>
              </w:rPr>
              <w:t xml:space="preserve">Différents types de crise et situations de crise : P. ex : milieu urbain, rural, crise soudaine, crise à évolution lente, conflit armé, catastrophes naturelles </w:t>
            </w:r>
          </w:p>
          <w:p w14:paraId="451BBB66" w14:textId="77777777" w:rsidR="00C925B2" w:rsidRPr="007570B7" w:rsidRDefault="00C925B2" w:rsidP="00C925B2">
            <w:pPr>
              <w:pStyle w:val="Listenabsatz"/>
              <w:numPr>
                <w:ilvl w:val="0"/>
                <w:numId w:val="6"/>
              </w:numPr>
              <w:spacing w:line="276" w:lineRule="auto"/>
              <w:rPr>
                <w:rFonts w:cstheme="minorHAnsi"/>
                <w:sz w:val="24"/>
                <w:szCs w:val="24"/>
              </w:rPr>
            </w:pPr>
            <w:r>
              <w:rPr>
                <w:sz w:val="24"/>
              </w:rPr>
              <w:t xml:space="preserve">Sources de données secondaires : IPC, </w:t>
            </w:r>
            <w:proofErr w:type="spellStart"/>
            <w:r>
              <w:rPr>
                <w:sz w:val="24"/>
              </w:rPr>
              <w:t>Fews</w:t>
            </w:r>
            <w:proofErr w:type="spellEnd"/>
            <w:r>
              <w:rPr>
                <w:sz w:val="24"/>
              </w:rPr>
              <w:t xml:space="preserve"> Net…</w:t>
            </w:r>
          </w:p>
          <w:p w14:paraId="451BBB67" w14:textId="77777777" w:rsidR="00C925B2" w:rsidRPr="007570B7" w:rsidRDefault="00C925B2" w:rsidP="00C925B2">
            <w:pPr>
              <w:pStyle w:val="Listenabsatz"/>
              <w:numPr>
                <w:ilvl w:val="0"/>
                <w:numId w:val="6"/>
              </w:numPr>
              <w:spacing w:line="276" w:lineRule="auto"/>
              <w:rPr>
                <w:rFonts w:cstheme="minorHAnsi"/>
                <w:sz w:val="24"/>
                <w:szCs w:val="24"/>
              </w:rPr>
            </w:pPr>
            <w:r>
              <w:rPr>
                <w:sz w:val="24"/>
              </w:rPr>
              <w:t>Définitions de la sécurité alimentaire, de la sécurité économique, de la nutrition et de la malnutrition</w:t>
            </w:r>
          </w:p>
          <w:p w14:paraId="451BBB68" w14:textId="396B2136" w:rsidR="00C925B2" w:rsidRPr="007570B7" w:rsidRDefault="00C925B2" w:rsidP="00C925B2">
            <w:pPr>
              <w:pStyle w:val="Listenabsatz"/>
              <w:numPr>
                <w:ilvl w:val="0"/>
                <w:numId w:val="6"/>
              </w:numPr>
              <w:spacing w:line="276" w:lineRule="auto"/>
              <w:rPr>
                <w:rFonts w:cstheme="minorHAnsi"/>
                <w:sz w:val="24"/>
                <w:szCs w:val="24"/>
              </w:rPr>
            </w:pPr>
            <w:r>
              <w:rPr>
                <w:sz w:val="24"/>
              </w:rPr>
              <w:t>Actifs éventuels des ménages</w:t>
            </w:r>
          </w:p>
          <w:p w14:paraId="451BBB69" w14:textId="77777777" w:rsidR="00C925B2" w:rsidRPr="007570B7" w:rsidRDefault="00C925B2" w:rsidP="00C925B2">
            <w:pPr>
              <w:pStyle w:val="Listenabsatz"/>
              <w:numPr>
                <w:ilvl w:val="0"/>
                <w:numId w:val="6"/>
              </w:numPr>
              <w:spacing w:line="276" w:lineRule="auto"/>
              <w:rPr>
                <w:rFonts w:cstheme="minorHAnsi"/>
                <w:sz w:val="24"/>
                <w:szCs w:val="24"/>
              </w:rPr>
            </w:pPr>
            <w:r>
              <w:rPr>
                <w:sz w:val="24"/>
              </w:rPr>
              <w:t>Stratégies de subsistance</w:t>
            </w:r>
          </w:p>
          <w:p w14:paraId="451BBB6A" w14:textId="77777777" w:rsidR="00C925B2" w:rsidRPr="007570B7" w:rsidRDefault="00C925B2" w:rsidP="00C925B2">
            <w:pPr>
              <w:pStyle w:val="Listenabsatz"/>
              <w:numPr>
                <w:ilvl w:val="0"/>
                <w:numId w:val="6"/>
              </w:numPr>
              <w:spacing w:line="276" w:lineRule="auto"/>
              <w:rPr>
                <w:rFonts w:cstheme="minorHAnsi"/>
                <w:sz w:val="24"/>
                <w:szCs w:val="24"/>
              </w:rPr>
            </w:pPr>
            <w:r>
              <w:rPr>
                <w:sz w:val="24"/>
              </w:rPr>
              <w:t>Les 1000 premiers jours et l’alimentation des nourrissons et des jeunes enfants</w:t>
            </w:r>
          </w:p>
          <w:p w14:paraId="451BBB6B" w14:textId="77777777" w:rsidR="00C925B2" w:rsidRPr="00890DFE" w:rsidRDefault="00C925B2" w:rsidP="00C925B2">
            <w:pPr>
              <w:pStyle w:val="Listenabsatz"/>
              <w:rPr>
                <w:rFonts w:cstheme="minorHAnsi"/>
                <w:i/>
                <w:sz w:val="24"/>
                <w:szCs w:val="24"/>
                <w:lang w:val="fr-CH"/>
              </w:rPr>
            </w:pPr>
          </w:p>
        </w:tc>
      </w:tr>
      <w:tr w:rsidR="00C925B2" w:rsidRPr="008E725A" w14:paraId="451BBB70" w14:textId="77777777" w:rsidTr="008A2FE2">
        <w:tc>
          <w:tcPr>
            <w:tcW w:w="3964" w:type="dxa"/>
            <w:vMerge/>
          </w:tcPr>
          <w:p w14:paraId="451BBB6D" w14:textId="77777777" w:rsidR="00C925B2" w:rsidRPr="00890DFE" w:rsidRDefault="00C925B2" w:rsidP="00C925B2">
            <w:pPr>
              <w:pStyle w:val="Listenabsatz"/>
              <w:autoSpaceDE w:val="0"/>
              <w:autoSpaceDN w:val="0"/>
              <w:adjustRightInd w:val="0"/>
              <w:ind w:left="360"/>
              <w:rPr>
                <w:rFonts w:cstheme="minorHAnsi"/>
                <w:i/>
                <w:color w:val="000000"/>
                <w:sz w:val="24"/>
                <w:szCs w:val="24"/>
                <w:lang w:val="fr-CH"/>
              </w:rPr>
            </w:pPr>
          </w:p>
        </w:tc>
        <w:tc>
          <w:tcPr>
            <w:tcW w:w="4820" w:type="dxa"/>
          </w:tcPr>
          <w:p w14:paraId="451BBB6E" w14:textId="5DE5EFF4" w:rsidR="00C925B2" w:rsidRPr="007570B7" w:rsidRDefault="00C925B2" w:rsidP="00C925B2">
            <w:pPr>
              <w:pStyle w:val="Listenabsatz"/>
              <w:numPr>
                <w:ilvl w:val="1"/>
                <w:numId w:val="1"/>
              </w:numPr>
              <w:ind w:left="473" w:hanging="473"/>
              <w:rPr>
                <w:rFonts w:cstheme="minorHAnsi"/>
                <w:i/>
                <w:color w:val="0000FF"/>
                <w:sz w:val="24"/>
                <w:szCs w:val="24"/>
              </w:rPr>
            </w:pPr>
            <w:r>
              <w:rPr>
                <w:i/>
                <w:sz w:val="24"/>
              </w:rPr>
              <w:t>Les participants sont en mesure de</w:t>
            </w:r>
            <w:r>
              <w:rPr>
                <w:sz w:val="24"/>
              </w:rPr>
              <w:t xml:space="preserve"> décrire les concepts relatifs à la nutrition et à la sécurité alimentaire.</w:t>
            </w:r>
          </w:p>
        </w:tc>
        <w:tc>
          <w:tcPr>
            <w:tcW w:w="5210" w:type="dxa"/>
            <w:vMerge/>
          </w:tcPr>
          <w:p w14:paraId="451BBB6F" w14:textId="77777777" w:rsidR="00C925B2" w:rsidRPr="00890DFE" w:rsidRDefault="00C925B2" w:rsidP="00C925B2">
            <w:pPr>
              <w:pStyle w:val="Listenabsatz"/>
              <w:numPr>
                <w:ilvl w:val="1"/>
                <w:numId w:val="1"/>
              </w:numPr>
              <w:rPr>
                <w:rFonts w:cstheme="minorHAnsi"/>
                <w:i/>
                <w:sz w:val="24"/>
                <w:szCs w:val="24"/>
                <w:lang w:val="fr-CH"/>
              </w:rPr>
            </w:pPr>
          </w:p>
        </w:tc>
      </w:tr>
      <w:tr w:rsidR="00C925B2" w:rsidRPr="008E725A" w14:paraId="451BBB74" w14:textId="77777777" w:rsidTr="008A2FE2">
        <w:tc>
          <w:tcPr>
            <w:tcW w:w="3964" w:type="dxa"/>
            <w:vMerge/>
          </w:tcPr>
          <w:p w14:paraId="451BBB71" w14:textId="77777777" w:rsidR="00C925B2" w:rsidRPr="00890DFE" w:rsidRDefault="00C925B2" w:rsidP="00C925B2">
            <w:pPr>
              <w:pStyle w:val="Listenabsatz"/>
              <w:autoSpaceDE w:val="0"/>
              <w:autoSpaceDN w:val="0"/>
              <w:adjustRightInd w:val="0"/>
              <w:ind w:left="360"/>
              <w:rPr>
                <w:rFonts w:cstheme="minorHAnsi"/>
                <w:i/>
                <w:color w:val="000000"/>
                <w:sz w:val="24"/>
                <w:szCs w:val="24"/>
                <w:lang w:val="fr-CH"/>
              </w:rPr>
            </w:pPr>
          </w:p>
        </w:tc>
        <w:tc>
          <w:tcPr>
            <w:tcW w:w="4820" w:type="dxa"/>
          </w:tcPr>
          <w:p w14:paraId="451BBB72" w14:textId="20346D8D" w:rsidR="00C925B2" w:rsidRPr="007570B7" w:rsidRDefault="00C925B2" w:rsidP="00C925B2">
            <w:pPr>
              <w:pStyle w:val="Listenabsatz"/>
              <w:numPr>
                <w:ilvl w:val="1"/>
                <w:numId w:val="1"/>
              </w:numPr>
              <w:ind w:left="473" w:hanging="473"/>
              <w:rPr>
                <w:rFonts w:cstheme="minorHAnsi"/>
                <w:i/>
                <w:color w:val="0000FF"/>
                <w:sz w:val="24"/>
                <w:szCs w:val="24"/>
              </w:rPr>
            </w:pPr>
            <w:r>
              <w:rPr>
                <w:i/>
                <w:sz w:val="24"/>
              </w:rPr>
              <w:t>Les participants sont en mesure de</w:t>
            </w:r>
            <w:r>
              <w:rPr>
                <w:sz w:val="24"/>
              </w:rPr>
              <w:t xml:space="preserve"> décrire différentes stratégies de subsistance basées sur les actifs des ménages.</w:t>
            </w:r>
          </w:p>
        </w:tc>
        <w:tc>
          <w:tcPr>
            <w:tcW w:w="5210" w:type="dxa"/>
            <w:vMerge/>
          </w:tcPr>
          <w:p w14:paraId="451BBB73" w14:textId="77777777" w:rsidR="00C925B2" w:rsidRPr="00890DFE" w:rsidRDefault="00C925B2" w:rsidP="00C925B2">
            <w:pPr>
              <w:pStyle w:val="Listenabsatz"/>
              <w:numPr>
                <w:ilvl w:val="1"/>
                <w:numId w:val="1"/>
              </w:numPr>
              <w:rPr>
                <w:rFonts w:cstheme="minorHAnsi"/>
                <w:i/>
                <w:sz w:val="24"/>
                <w:szCs w:val="24"/>
                <w:lang w:val="fr-CH"/>
              </w:rPr>
            </w:pPr>
          </w:p>
        </w:tc>
      </w:tr>
      <w:tr w:rsidR="00C925B2" w:rsidRPr="008E725A" w14:paraId="451BBB78" w14:textId="77777777" w:rsidTr="008A2FE2">
        <w:tc>
          <w:tcPr>
            <w:tcW w:w="3964" w:type="dxa"/>
            <w:vMerge/>
          </w:tcPr>
          <w:p w14:paraId="451BBB75" w14:textId="77777777" w:rsidR="00C925B2" w:rsidRPr="00890DFE" w:rsidRDefault="00C925B2" w:rsidP="00C925B2">
            <w:pPr>
              <w:pStyle w:val="Listenabsatz"/>
              <w:autoSpaceDE w:val="0"/>
              <w:autoSpaceDN w:val="0"/>
              <w:adjustRightInd w:val="0"/>
              <w:ind w:left="360"/>
              <w:rPr>
                <w:rFonts w:cstheme="minorHAnsi"/>
                <w:i/>
                <w:color w:val="000000"/>
                <w:sz w:val="24"/>
                <w:szCs w:val="24"/>
                <w:lang w:val="fr-CH"/>
              </w:rPr>
            </w:pPr>
          </w:p>
        </w:tc>
        <w:tc>
          <w:tcPr>
            <w:tcW w:w="4820" w:type="dxa"/>
          </w:tcPr>
          <w:p w14:paraId="451BBB76" w14:textId="165B8FF2" w:rsidR="00C925B2" w:rsidRPr="007570B7" w:rsidRDefault="00C925B2" w:rsidP="00C925B2">
            <w:pPr>
              <w:pStyle w:val="Listenabsatz"/>
              <w:numPr>
                <w:ilvl w:val="1"/>
                <w:numId w:val="1"/>
              </w:numPr>
              <w:ind w:left="473" w:hanging="473"/>
              <w:rPr>
                <w:rFonts w:cstheme="minorHAnsi"/>
                <w:i/>
                <w:color w:val="0000FF"/>
                <w:sz w:val="24"/>
                <w:szCs w:val="24"/>
              </w:rPr>
            </w:pPr>
            <w:r>
              <w:rPr>
                <w:i/>
                <w:iCs/>
                <w:sz w:val="24"/>
              </w:rPr>
              <w:t>Les participants sont en mesure de</w:t>
            </w:r>
            <w:r>
              <w:rPr>
                <w:sz w:val="24"/>
              </w:rPr>
              <w:t xml:space="preserve"> décrire les bases d’une alimentation adéquate pour les individus et les populations.</w:t>
            </w:r>
          </w:p>
        </w:tc>
        <w:tc>
          <w:tcPr>
            <w:tcW w:w="5210" w:type="dxa"/>
            <w:vMerge/>
          </w:tcPr>
          <w:p w14:paraId="451BBB77" w14:textId="77777777" w:rsidR="00C925B2" w:rsidRPr="00890DFE" w:rsidRDefault="00C925B2" w:rsidP="00C925B2">
            <w:pPr>
              <w:pStyle w:val="Listenabsatz"/>
              <w:numPr>
                <w:ilvl w:val="1"/>
                <w:numId w:val="1"/>
              </w:numPr>
              <w:rPr>
                <w:rFonts w:cstheme="minorHAnsi"/>
                <w:i/>
                <w:sz w:val="24"/>
                <w:szCs w:val="24"/>
                <w:lang w:val="fr-CH"/>
              </w:rPr>
            </w:pPr>
          </w:p>
        </w:tc>
      </w:tr>
      <w:tr w:rsidR="00C925B2" w:rsidRPr="008E725A" w14:paraId="451BBB7C" w14:textId="77777777" w:rsidTr="008A2FE2">
        <w:tc>
          <w:tcPr>
            <w:tcW w:w="3964" w:type="dxa"/>
            <w:vMerge/>
          </w:tcPr>
          <w:p w14:paraId="451BBB79" w14:textId="77777777" w:rsidR="00C925B2" w:rsidRPr="00890DFE" w:rsidRDefault="00C925B2" w:rsidP="00C925B2">
            <w:pPr>
              <w:pStyle w:val="Listenabsatz"/>
              <w:autoSpaceDE w:val="0"/>
              <w:autoSpaceDN w:val="0"/>
              <w:adjustRightInd w:val="0"/>
              <w:ind w:left="360"/>
              <w:rPr>
                <w:rFonts w:cstheme="minorHAnsi"/>
                <w:i/>
                <w:color w:val="000000"/>
                <w:sz w:val="24"/>
                <w:szCs w:val="24"/>
                <w:lang w:val="fr-CH"/>
              </w:rPr>
            </w:pPr>
          </w:p>
        </w:tc>
        <w:tc>
          <w:tcPr>
            <w:tcW w:w="4820" w:type="dxa"/>
          </w:tcPr>
          <w:p w14:paraId="451BBB7A" w14:textId="51ADE299" w:rsidR="00C925B2" w:rsidRPr="007570B7" w:rsidRDefault="00C925B2" w:rsidP="00C925B2">
            <w:pPr>
              <w:pStyle w:val="Listenabsatz"/>
              <w:numPr>
                <w:ilvl w:val="1"/>
                <w:numId w:val="1"/>
              </w:numPr>
              <w:ind w:left="473" w:hanging="473"/>
              <w:rPr>
                <w:rFonts w:cstheme="minorHAnsi"/>
                <w:i/>
                <w:color w:val="0000FF"/>
                <w:sz w:val="24"/>
                <w:szCs w:val="24"/>
              </w:rPr>
            </w:pPr>
            <w:r>
              <w:rPr>
                <w:i/>
                <w:iCs/>
                <w:sz w:val="24"/>
              </w:rPr>
              <w:t>Les participants sont en mesure</w:t>
            </w:r>
            <w:r>
              <w:rPr>
                <w:sz w:val="24"/>
              </w:rPr>
              <w:t xml:space="preserve"> d’identifier des groupes de population présentant de hauts risques de malnutrition et leurs besoins spécifiques.</w:t>
            </w:r>
          </w:p>
        </w:tc>
        <w:tc>
          <w:tcPr>
            <w:tcW w:w="5210" w:type="dxa"/>
            <w:vMerge/>
          </w:tcPr>
          <w:p w14:paraId="451BBB7B" w14:textId="77777777" w:rsidR="00C925B2" w:rsidRPr="00890DFE" w:rsidRDefault="00C925B2" w:rsidP="00C925B2">
            <w:pPr>
              <w:pStyle w:val="Listenabsatz"/>
              <w:numPr>
                <w:ilvl w:val="1"/>
                <w:numId w:val="1"/>
              </w:numPr>
              <w:rPr>
                <w:rFonts w:cstheme="minorHAnsi"/>
                <w:i/>
                <w:sz w:val="24"/>
                <w:szCs w:val="24"/>
                <w:lang w:val="fr-CH"/>
              </w:rPr>
            </w:pPr>
          </w:p>
        </w:tc>
      </w:tr>
      <w:tr w:rsidR="00C925B2" w:rsidRPr="007570B7" w14:paraId="451BBB8E" w14:textId="77777777" w:rsidTr="008A2FE2">
        <w:tc>
          <w:tcPr>
            <w:tcW w:w="3964" w:type="dxa"/>
            <w:vMerge w:val="restart"/>
          </w:tcPr>
          <w:p w14:paraId="451BBB81" w14:textId="16DADD74" w:rsidR="00C925B2" w:rsidRPr="007570B7" w:rsidRDefault="00C925B2" w:rsidP="00C925B2">
            <w:pPr>
              <w:pStyle w:val="Listenabsatz"/>
              <w:numPr>
                <w:ilvl w:val="0"/>
                <w:numId w:val="2"/>
              </w:numPr>
              <w:spacing w:line="276" w:lineRule="auto"/>
              <w:rPr>
                <w:rFonts w:cstheme="minorHAnsi"/>
                <w:b/>
                <w:sz w:val="24"/>
                <w:szCs w:val="24"/>
              </w:rPr>
            </w:pPr>
            <w:r>
              <w:rPr>
                <w:b/>
                <w:sz w:val="24"/>
              </w:rPr>
              <w:t xml:space="preserve">Nutrition et malnutrition : </w:t>
            </w:r>
            <w:r>
              <w:rPr>
                <w:i/>
                <w:iCs/>
                <w:sz w:val="24"/>
              </w:rPr>
              <w:t>Les participants sont en mesure</w:t>
            </w:r>
            <w:r>
              <w:rPr>
                <w:sz w:val="24"/>
              </w:rPr>
              <w:t xml:space="preserve"> </w:t>
            </w:r>
            <w:r>
              <w:rPr>
                <w:sz w:val="24"/>
              </w:rPr>
              <w:lastRenderedPageBreak/>
              <w:t>d’expliquer le cadre conceptuel de la malnutrition et d’évaluer l’état nutritionnel des populations.</w:t>
            </w:r>
          </w:p>
        </w:tc>
        <w:tc>
          <w:tcPr>
            <w:tcW w:w="4820" w:type="dxa"/>
          </w:tcPr>
          <w:p w14:paraId="451BBB82" w14:textId="656E64C2" w:rsidR="00C925B2" w:rsidRPr="007570B7" w:rsidRDefault="00C925B2" w:rsidP="00C925B2">
            <w:pPr>
              <w:pStyle w:val="Listenabsatz"/>
              <w:numPr>
                <w:ilvl w:val="1"/>
                <w:numId w:val="2"/>
              </w:numPr>
              <w:spacing w:line="276" w:lineRule="auto"/>
              <w:ind w:left="473" w:hanging="473"/>
              <w:rPr>
                <w:rFonts w:cstheme="minorHAnsi"/>
                <w:sz w:val="24"/>
                <w:szCs w:val="24"/>
              </w:rPr>
            </w:pPr>
            <w:r>
              <w:rPr>
                <w:i/>
                <w:sz w:val="24"/>
              </w:rPr>
              <w:lastRenderedPageBreak/>
              <w:t>Les participants sont en mesure</w:t>
            </w:r>
            <w:r>
              <w:rPr>
                <w:sz w:val="24"/>
              </w:rPr>
              <w:t xml:space="preserve"> de décrire les différentes formes de malnutrition.</w:t>
            </w:r>
          </w:p>
          <w:p w14:paraId="451BBB83" w14:textId="77777777" w:rsidR="00C925B2" w:rsidRPr="00890DFE" w:rsidRDefault="00C925B2" w:rsidP="00C925B2">
            <w:pPr>
              <w:ind w:left="473" w:hanging="473"/>
              <w:rPr>
                <w:rFonts w:cstheme="minorHAnsi"/>
                <w:i/>
                <w:sz w:val="24"/>
                <w:szCs w:val="24"/>
                <w:lang w:val="fr-CH"/>
              </w:rPr>
            </w:pPr>
          </w:p>
        </w:tc>
        <w:tc>
          <w:tcPr>
            <w:tcW w:w="5210" w:type="dxa"/>
            <w:vMerge w:val="restart"/>
          </w:tcPr>
          <w:p w14:paraId="451BBB84" w14:textId="75C767F6" w:rsidR="00C925B2" w:rsidRPr="007570B7" w:rsidRDefault="00C925B2" w:rsidP="00C925B2">
            <w:pPr>
              <w:pStyle w:val="Listenabsatz"/>
              <w:numPr>
                <w:ilvl w:val="0"/>
                <w:numId w:val="9"/>
              </w:numPr>
              <w:spacing w:line="276" w:lineRule="auto"/>
              <w:rPr>
                <w:rFonts w:cstheme="minorHAnsi"/>
                <w:sz w:val="24"/>
                <w:szCs w:val="24"/>
              </w:rPr>
            </w:pPr>
            <w:r>
              <w:rPr>
                <w:sz w:val="24"/>
              </w:rPr>
              <w:t>Cadre conceptuel de l’UNICEF sur la malnutrition</w:t>
            </w:r>
          </w:p>
          <w:p w14:paraId="451BBB85" w14:textId="77777777" w:rsidR="00C925B2" w:rsidRPr="007570B7" w:rsidRDefault="00C925B2" w:rsidP="00C925B2">
            <w:pPr>
              <w:pStyle w:val="Listenabsatz"/>
              <w:numPr>
                <w:ilvl w:val="0"/>
                <w:numId w:val="9"/>
              </w:numPr>
              <w:spacing w:line="276" w:lineRule="auto"/>
              <w:rPr>
                <w:rFonts w:cstheme="minorHAnsi"/>
                <w:sz w:val="24"/>
                <w:szCs w:val="24"/>
              </w:rPr>
            </w:pPr>
            <w:r>
              <w:rPr>
                <w:sz w:val="24"/>
              </w:rPr>
              <w:lastRenderedPageBreak/>
              <w:t>Facteurs interdépendants responsables de la malnutrition</w:t>
            </w:r>
          </w:p>
          <w:p w14:paraId="451BBB86" w14:textId="77777777" w:rsidR="00C925B2" w:rsidRPr="007570B7" w:rsidRDefault="00C925B2" w:rsidP="00C925B2">
            <w:pPr>
              <w:pStyle w:val="Listenabsatz"/>
              <w:numPr>
                <w:ilvl w:val="0"/>
                <w:numId w:val="9"/>
              </w:numPr>
              <w:spacing w:line="276" w:lineRule="auto"/>
              <w:rPr>
                <w:rFonts w:cstheme="minorHAnsi"/>
                <w:sz w:val="24"/>
                <w:szCs w:val="24"/>
              </w:rPr>
            </w:pPr>
            <w:r>
              <w:rPr>
                <w:sz w:val="24"/>
              </w:rPr>
              <w:t>Terminologie de la malnutrition</w:t>
            </w:r>
          </w:p>
          <w:p w14:paraId="451BBB87" w14:textId="69C61C18" w:rsidR="00C925B2" w:rsidRPr="007570B7" w:rsidRDefault="00C925B2" w:rsidP="00C925B2">
            <w:pPr>
              <w:pStyle w:val="Listenabsatz"/>
              <w:numPr>
                <w:ilvl w:val="0"/>
                <w:numId w:val="9"/>
              </w:numPr>
              <w:spacing w:line="276" w:lineRule="auto"/>
              <w:rPr>
                <w:rFonts w:cstheme="minorHAnsi"/>
                <w:sz w:val="24"/>
                <w:szCs w:val="24"/>
              </w:rPr>
            </w:pPr>
            <w:r>
              <w:rPr>
                <w:sz w:val="24"/>
              </w:rPr>
              <w:t>Risque pour la santé associé à la malnutrition</w:t>
            </w:r>
          </w:p>
          <w:p w14:paraId="451BBB88" w14:textId="58152082" w:rsidR="00C925B2" w:rsidRPr="007570B7" w:rsidRDefault="00C925B2" w:rsidP="00C925B2">
            <w:pPr>
              <w:pStyle w:val="Listenabsatz"/>
              <w:numPr>
                <w:ilvl w:val="0"/>
                <w:numId w:val="9"/>
              </w:numPr>
              <w:spacing w:line="276" w:lineRule="auto"/>
              <w:rPr>
                <w:rFonts w:cstheme="minorHAnsi"/>
                <w:sz w:val="24"/>
                <w:szCs w:val="24"/>
              </w:rPr>
            </w:pPr>
            <w:r>
              <w:rPr>
                <w:sz w:val="24"/>
              </w:rPr>
              <w:t>Cycle du risque de malnutrition tout au long de la vie</w:t>
            </w:r>
          </w:p>
          <w:p w14:paraId="451BBB89" w14:textId="77777777" w:rsidR="00C925B2" w:rsidRPr="007570B7" w:rsidRDefault="00C925B2" w:rsidP="00C925B2">
            <w:pPr>
              <w:pStyle w:val="Listenabsatz"/>
              <w:numPr>
                <w:ilvl w:val="0"/>
                <w:numId w:val="9"/>
              </w:numPr>
              <w:spacing w:line="276" w:lineRule="auto"/>
              <w:rPr>
                <w:rFonts w:cstheme="minorHAnsi"/>
                <w:sz w:val="24"/>
                <w:szCs w:val="24"/>
              </w:rPr>
            </w:pPr>
            <w:r>
              <w:rPr>
                <w:sz w:val="24"/>
              </w:rPr>
              <w:t>Cycle intergénérationnel de dénutrition</w:t>
            </w:r>
          </w:p>
          <w:p w14:paraId="451BBB8A" w14:textId="77777777" w:rsidR="00C925B2" w:rsidRPr="007570B7" w:rsidRDefault="00C925B2" w:rsidP="00C925B2">
            <w:pPr>
              <w:pStyle w:val="Listenabsatz"/>
              <w:numPr>
                <w:ilvl w:val="0"/>
                <w:numId w:val="9"/>
              </w:numPr>
              <w:spacing w:line="276" w:lineRule="auto"/>
              <w:rPr>
                <w:rFonts w:cstheme="minorHAnsi"/>
                <w:sz w:val="24"/>
                <w:szCs w:val="24"/>
              </w:rPr>
            </w:pPr>
            <w:r>
              <w:rPr>
                <w:sz w:val="24"/>
              </w:rPr>
              <w:t>Outils anthropométriques : toise, balance, PB</w:t>
            </w:r>
          </w:p>
          <w:p w14:paraId="451BBB8B" w14:textId="77777777" w:rsidR="00C925B2" w:rsidRPr="007570B7" w:rsidRDefault="00C925B2" w:rsidP="00C925B2">
            <w:pPr>
              <w:pStyle w:val="Listenabsatz"/>
              <w:numPr>
                <w:ilvl w:val="0"/>
                <w:numId w:val="9"/>
              </w:numPr>
              <w:spacing w:line="276" w:lineRule="auto"/>
              <w:rPr>
                <w:rFonts w:cstheme="minorHAnsi"/>
                <w:sz w:val="24"/>
                <w:szCs w:val="24"/>
              </w:rPr>
            </w:pPr>
            <w:r>
              <w:rPr>
                <w:sz w:val="24"/>
              </w:rPr>
              <w:t>Indicateurs : P/T, T/A, PB, œdème</w:t>
            </w:r>
          </w:p>
          <w:p w14:paraId="451BBB8D" w14:textId="3D8CEFE5" w:rsidR="00C925B2" w:rsidRPr="007570B7" w:rsidRDefault="00C925B2" w:rsidP="00C925B2">
            <w:pPr>
              <w:pStyle w:val="Listenabsatz"/>
              <w:numPr>
                <w:ilvl w:val="0"/>
                <w:numId w:val="9"/>
              </w:numPr>
              <w:spacing w:line="276" w:lineRule="auto"/>
              <w:rPr>
                <w:rFonts w:cstheme="minorHAnsi"/>
                <w:i/>
                <w:sz w:val="24"/>
                <w:szCs w:val="24"/>
              </w:rPr>
            </w:pPr>
            <w:r>
              <w:rPr>
                <w:sz w:val="24"/>
              </w:rPr>
              <w:t>Normes de croissance de l’OMS 2006</w:t>
            </w:r>
          </w:p>
        </w:tc>
      </w:tr>
      <w:tr w:rsidR="00C925B2" w:rsidRPr="008E725A" w14:paraId="451BBB92" w14:textId="77777777" w:rsidTr="008A2FE2">
        <w:tc>
          <w:tcPr>
            <w:tcW w:w="3964" w:type="dxa"/>
            <w:vMerge/>
          </w:tcPr>
          <w:p w14:paraId="451BBB8F" w14:textId="77777777" w:rsidR="00C925B2" w:rsidRPr="00890DFE" w:rsidRDefault="00C925B2" w:rsidP="00C925B2">
            <w:pPr>
              <w:pStyle w:val="Listenabsatz"/>
              <w:autoSpaceDE w:val="0"/>
              <w:autoSpaceDN w:val="0"/>
              <w:adjustRightInd w:val="0"/>
              <w:ind w:left="360"/>
              <w:rPr>
                <w:rFonts w:cstheme="minorHAnsi"/>
                <w:i/>
                <w:sz w:val="24"/>
                <w:szCs w:val="24"/>
                <w:lang w:val="fr-CH"/>
              </w:rPr>
            </w:pPr>
          </w:p>
        </w:tc>
        <w:tc>
          <w:tcPr>
            <w:tcW w:w="4820" w:type="dxa"/>
          </w:tcPr>
          <w:p w14:paraId="451BBB90" w14:textId="62DC07C5" w:rsidR="00C925B2" w:rsidRPr="005F2D51" w:rsidRDefault="00C925B2" w:rsidP="00C925B2">
            <w:pPr>
              <w:pStyle w:val="Listenabsatz"/>
              <w:numPr>
                <w:ilvl w:val="1"/>
                <w:numId w:val="2"/>
              </w:numPr>
              <w:spacing w:line="276" w:lineRule="auto"/>
              <w:ind w:left="473" w:hanging="425"/>
              <w:rPr>
                <w:rFonts w:cstheme="minorHAnsi"/>
                <w:sz w:val="24"/>
                <w:szCs w:val="24"/>
              </w:rPr>
            </w:pPr>
            <w:r>
              <w:rPr>
                <w:i/>
                <w:sz w:val="24"/>
              </w:rPr>
              <w:t>Les participants sont en mesure</w:t>
            </w:r>
            <w:r>
              <w:rPr>
                <w:sz w:val="24"/>
              </w:rPr>
              <w:t xml:space="preserve"> d’expliquer les conséquences de la malnutrition au niveau individuel et de la population.</w:t>
            </w:r>
          </w:p>
        </w:tc>
        <w:tc>
          <w:tcPr>
            <w:tcW w:w="5210" w:type="dxa"/>
            <w:vMerge/>
          </w:tcPr>
          <w:p w14:paraId="451BBB91" w14:textId="77777777" w:rsidR="00C925B2" w:rsidRPr="00890DFE" w:rsidRDefault="00C925B2" w:rsidP="00C925B2">
            <w:pPr>
              <w:pStyle w:val="Listenabsatz"/>
              <w:spacing w:line="276" w:lineRule="auto"/>
              <w:ind w:left="360"/>
              <w:rPr>
                <w:rFonts w:cstheme="minorHAnsi"/>
                <w:i/>
                <w:sz w:val="24"/>
                <w:szCs w:val="24"/>
                <w:lang w:val="fr-CH"/>
              </w:rPr>
            </w:pPr>
          </w:p>
        </w:tc>
      </w:tr>
      <w:tr w:rsidR="00C925B2" w:rsidRPr="008E725A" w14:paraId="451BBB96" w14:textId="77777777" w:rsidTr="008A2FE2">
        <w:tc>
          <w:tcPr>
            <w:tcW w:w="3964" w:type="dxa"/>
            <w:vMerge/>
          </w:tcPr>
          <w:p w14:paraId="451BBB93" w14:textId="77777777" w:rsidR="00C925B2" w:rsidRPr="00890DFE" w:rsidRDefault="00C925B2" w:rsidP="00C925B2">
            <w:pPr>
              <w:pStyle w:val="Listenabsatz"/>
              <w:autoSpaceDE w:val="0"/>
              <w:autoSpaceDN w:val="0"/>
              <w:adjustRightInd w:val="0"/>
              <w:ind w:left="360"/>
              <w:rPr>
                <w:rFonts w:cstheme="minorHAnsi"/>
                <w:i/>
                <w:sz w:val="24"/>
                <w:szCs w:val="24"/>
                <w:lang w:val="fr-CH"/>
              </w:rPr>
            </w:pPr>
          </w:p>
        </w:tc>
        <w:tc>
          <w:tcPr>
            <w:tcW w:w="4820" w:type="dxa"/>
          </w:tcPr>
          <w:p w14:paraId="451BBB94" w14:textId="2E22F9C4" w:rsidR="00C925B2" w:rsidRPr="005F2D51" w:rsidRDefault="00C925B2" w:rsidP="00C925B2">
            <w:pPr>
              <w:pStyle w:val="Listenabsatz"/>
              <w:numPr>
                <w:ilvl w:val="1"/>
                <w:numId w:val="2"/>
              </w:numPr>
              <w:spacing w:line="276" w:lineRule="auto"/>
              <w:ind w:left="473" w:hanging="425"/>
              <w:rPr>
                <w:rFonts w:cstheme="minorHAnsi"/>
                <w:sz w:val="24"/>
                <w:szCs w:val="24"/>
              </w:rPr>
            </w:pPr>
            <w:r>
              <w:rPr>
                <w:i/>
                <w:sz w:val="24"/>
              </w:rPr>
              <w:t>Les participants sont en mesure</w:t>
            </w:r>
            <w:r>
              <w:rPr>
                <w:sz w:val="24"/>
              </w:rPr>
              <w:t xml:space="preserve"> d’énumérer les différentes formes de malnutrition.</w:t>
            </w:r>
          </w:p>
        </w:tc>
        <w:tc>
          <w:tcPr>
            <w:tcW w:w="5210" w:type="dxa"/>
            <w:vMerge/>
          </w:tcPr>
          <w:p w14:paraId="451BBB95" w14:textId="77777777" w:rsidR="00C925B2" w:rsidRPr="00890DFE" w:rsidRDefault="00C925B2" w:rsidP="00C925B2">
            <w:pPr>
              <w:pStyle w:val="Listenabsatz"/>
              <w:numPr>
                <w:ilvl w:val="1"/>
                <w:numId w:val="2"/>
              </w:numPr>
              <w:spacing w:line="276" w:lineRule="auto"/>
              <w:rPr>
                <w:rFonts w:cstheme="minorHAnsi"/>
                <w:i/>
                <w:sz w:val="24"/>
                <w:szCs w:val="24"/>
                <w:lang w:val="fr-CH"/>
              </w:rPr>
            </w:pPr>
          </w:p>
        </w:tc>
      </w:tr>
      <w:tr w:rsidR="00C925B2" w:rsidRPr="008E725A" w14:paraId="451BBB9A" w14:textId="77777777" w:rsidTr="008A2FE2">
        <w:tc>
          <w:tcPr>
            <w:tcW w:w="3964" w:type="dxa"/>
            <w:vMerge/>
          </w:tcPr>
          <w:p w14:paraId="451BBB97" w14:textId="77777777" w:rsidR="00C925B2" w:rsidRPr="00890DFE" w:rsidRDefault="00C925B2" w:rsidP="00C925B2">
            <w:pPr>
              <w:pStyle w:val="Listenabsatz"/>
              <w:autoSpaceDE w:val="0"/>
              <w:autoSpaceDN w:val="0"/>
              <w:adjustRightInd w:val="0"/>
              <w:ind w:left="360"/>
              <w:rPr>
                <w:rFonts w:cstheme="minorHAnsi"/>
                <w:i/>
                <w:sz w:val="24"/>
                <w:szCs w:val="24"/>
                <w:lang w:val="fr-CH"/>
              </w:rPr>
            </w:pPr>
          </w:p>
        </w:tc>
        <w:tc>
          <w:tcPr>
            <w:tcW w:w="4820" w:type="dxa"/>
          </w:tcPr>
          <w:p w14:paraId="451BBB98" w14:textId="0ED4AEF2" w:rsidR="00C925B2" w:rsidRPr="007570B7" w:rsidRDefault="00C925B2" w:rsidP="00C925B2">
            <w:pPr>
              <w:pStyle w:val="Listenabsatz"/>
              <w:numPr>
                <w:ilvl w:val="1"/>
                <w:numId w:val="2"/>
              </w:numPr>
              <w:ind w:left="473" w:hanging="473"/>
              <w:rPr>
                <w:rFonts w:cstheme="minorHAnsi"/>
                <w:i/>
                <w:sz w:val="24"/>
                <w:szCs w:val="24"/>
              </w:rPr>
            </w:pPr>
            <w:r>
              <w:rPr>
                <w:i/>
                <w:iCs/>
                <w:sz w:val="24"/>
              </w:rPr>
              <w:t>Les participants sont en mesure</w:t>
            </w:r>
            <w:r>
              <w:rPr>
                <w:sz w:val="24"/>
              </w:rPr>
              <w:t xml:space="preserve"> d’identifier l’état nutritionnel de différents groupes d’âge ou groupes biologiques, à l’aide de méthodes anthropométriques.</w:t>
            </w:r>
          </w:p>
        </w:tc>
        <w:tc>
          <w:tcPr>
            <w:tcW w:w="5210" w:type="dxa"/>
            <w:vMerge/>
          </w:tcPr>
          <w:p w14:paraId="451BBB99" w14:textId="77777777" w:rsidR="00C925B2" w:rsidRPr="00890DFE" w:rsidRDefault="00C925B2" w:rsidP="00C925B2">
            <w:pPr>
              <w:pStyle w:val="Listenabsatz"/>
              <w:numPr>
                <w:ilvl w:val="1"/>
                <w:numId w:val="2"/>
              </w:numPr>
              <w:rPr>
                <w:rFonts w:cstheme="minorHAnsi"/>
                <w:i/>
                <w:sz w:val="24"/>
                <w:szCs w:val="24"/>
                <w:lang w:val="fr-CH"/>
              </w:rPr>
            </w:pPr>
          </w:p>
        </w:tc>
      </w:tr>
      <w:tr w:rsidR="00C925B2" w:rsidRPr="007570B7" w14:paraId="451BBBA7" w14:textId="77777777" w:rsidTr="008A2FE2">
        <w:tc>
          <w:tcPr>
            <w:tcW w:w="3964" w:type="dxa"/>
            <w:vMerge w:val="restart"/>
          </w:tcPr>
          <w:p w14:paraId="451BBB9B" w14:textId="10482C1F" w:rsidR="00C925B2" w:rsidRPr="007570B7" w:rsidRDefault="00C925B2" w:rsidP="00C925B2">
            <w:pPr>
              <w:pStyle w:val="Listenabsatz"/>
              <w:numPr>
                <w:ilvl w:val="0"/>
                <w:numId w:val="3"/>
              </w:numPr>
              <w:spacing w:line="276" w:lineRule="auto"/>
              <w:rPr>
                <w:rFonts w:cstheme="minorHAnsi"/>
                <w:sz w:val="24"/>
                <w:szCs w:val="24"/>
              </w:rPr>
            </w:pPr>
            <w:r>
              <w:rPr>
                <w:b/>
                <w:sz w:val="24"/>
              </w:rPr>
              <w:t>Évaluation de la malnutrition, de la sécurité alimentaire et de la sécurité économique :</w:t>
            </w:r>
            <w:r>
              <w:rPr>
                <w:sz w:val="24"/>
              </w:rPr>
              <w:t xml:space="preserve"> </w:t>
            </w:r>
            <w:r>
              <w:rPr>
                <w:i/>
                <w:iCs/>
                <w:sz w:val="24"/>
              </w:rPr>
              <w:t>Les participants sont en mesure</w:t>
            </w:r>
            <w:r>
              <w:rPr>
                <w:sz w:val="24"/>
              </w:rPr>
              <w:t xml:space="preserve"> d’initier et de participer à des évaluations de la sécurité alimentaire et de la nutrition dans des situations de crises aigües et prolongées.</w:t>
            </w:r>
          </w:p>
        </w:tc>
        <w:tc>
          <w:tcPr>
            <w:tcW w:w="4820" w:type="dxa"/>
          </w:tcPr>
          <w:p w14:paraId="451BBB9C" w14:textId="3BD14933" w:rsidR="00C925B2" w:rsidRPr="007570B7" w:rsidRDefault="00C925B2" w:rsidP="00C925B2">
            <w:pPr>
              <w:pStyle w:val="Listenabsatz"/>
              <w:numPr>
                <w:ilvl w:val="1"/>
                <w:numId w:val="17"/>
              </w:numPr>
              <w:spacing w:line="276" w:lineRule="auto"/>
              <w:ind w:left="473" w:hanging="473"/>
              <w:rPr>
                <w:rFonts w:cstheme="minorHAnsi"/>
                <w:sz w:val="24"/>
                <w:szCs w:val="24"/>
              </w:rPr>
            </w:pPr>
            <w:r>
              <w:rPr>
                <w:i/>
                <w:sz w:val="24"/>
              </w:rPr>
              <w:t>Les participants sont en mesure</w:t>
            </w:r>
            <w:r>
              <w:rPr>
                <w:sz w:val="24"/>
              </w:rPr>
              <w:t xml:space="preserve"> d’expliquer différents types d’évaluation selon le contexte, les objectifs et la phase d’une intervention et d’expliquer comment effectuer un échantillonnage approprié.</w:t>
            </w:r>
            <w:r>
              <w:rPr>
                <w:color w:val="0000FF"/>
                <w:sz w:val="24"/>
              </w:rPr>
              <w:t xml:space="preserve"> Voir également le module Gestion du cycle de programme.</w:t>
            </w:r>
          </w:p>
        </w:tc>
        <w:tc>
          <w:tcPr>
            <w:tcW w:w="5210" w:type="dxa"/>
            <w:vMerge w:val="restart"/>
          </w:tcPr>
          <w:p w14:paraId="451BBB9D" w14:textId="77777777" w:rsidR="00C925B2" w:rsidRPr="007570B7" w:rsidRDefault="00C925B2" w:rsidP="00C925B2">
            <w:pPr>
              <w:pStyle w:val="Listenabsatz"/>
              <w:numPr>
                <w:ilvl w:val="0"/>
                <w:numId w:val="11"/>
              </w:numPr>
              <w:spacing w:line="276" w:lineRule="auto"/>
              <w:rPr>
                <w:rFonts w:cstheme="minorHAnsi"/>
                <w:sz w:val="24"/>
                <w:szCs w:val="24"/>
              </w:rPr>
            </w:pPr>
            <w:r>
              <w:rPr>
                <w:sz w:val="24"/>
              </w:rPr>
              <w:t>Objectifs des évaluations</w:t>
            </w:r>
          </w:p>
          <w:p w14:paraId="451BBB9E" w14:textId="66F1FC3F" w:rsidR="00C925B2" w:rsidRPr="007570B7" w:rsidRDefault="00C925B2" w:rsidP="00C925B2">
            <w:pPr>
              <w:pStyle w:val="Listenabsatz"/>
              <w:numPr>
                <w:ilvl w:val="0"/>
                <w:numId w:val="11"/>
              </w:numPr>
              <w:spacing w:line="276" w:lineRule="auto"/>
              <w:rPr>
                <w:rFonts w:cstheme="minorHAnsi"/>
                <w:sz w:val="24"/>
                <w:szCs w:val="24"/>
              </w:rPr>
            </w:pPr>
            <w:r>
              <w:rPr>
                <w:sz w:val="24"/>
              </w:rPr>
              <w:t>Rappel des données secondaires issues de la séance 1 sur le Contexte général</w:t>
            </w:r>
          </w:p>
          <w:p w14:paraId="451BBB9F" w14:textId="4D963316" w:rsidR="00C925B2" w:rsidRPr="007570B7" w:rsidRDefault="00C925B2" w:rsidP="00C925B2">
            <w:pPr>
              <w:pStyle w:val="Listenabsatz"/>
              <w:numPr>
                <w:ilvl w:val="0"/>
                <w:numId w:val="11"/>
              </w:numPr>
              <w:spacing w:line="276" w:lineRule="auto"/>
              <w:rPr>
                <w:rFonts w:cstheme="minorHAnsi"/>
                <w:sz w:val="24"/>
                <w:szCs w:val="24"/>
              </w:rPr>
            </w:pPr>
            <w:r>
              <w:rPr>
                <w:sz w:val="24"/>
              </w:rPr>
              <w:t>Analyse des causes de la malnutrition FAO</w:t>
            </w:r>
          </w:p>
          <w:p w14:paraId="451BBBA0" w14:textId="77777777" w:rsidR="00C925B2" w:rsidRPr="007570B7" w:rsidRDefault="00C925B2" w:rsidP="00C925B2">
            <w:pPr>
              <w:pStyle w:val="Listenabsatz"/>
              <w:numPr>
                <w:ilvl w:val="0"/>
                <w:numId w:val="11"/>
              </w:numPr>
              <w:spacing w:line="276" w:lineRule="auto"/>
              <w:rPr>
                <w:rFonts w:cstheme="minorHAnsi"/>
                <w:sz w:val="24"/>
                <w:szCs w:val="24"/>
              </w:rPr>
            </w:pPr>
            <w:r>
              <w:rPr>
                <w:sz w:val="24"/>
              </w:rPr>
              <w:t>Score de diversité alimentaire des ménages (SDAM)</w:t>
            </w:r>
          </w:p>
          <w:p w14:paraId="451BBBA1" w14:textId="77777777" w:rsidR="00C925B2" w:rsidRPr="007570B7" w:rsidRDefault="00C925B2" w:rsidP="00C925B2">
            <w:pPr>
              <w:pStyle w:val="Listenabsatz"/>
              <w:numPr>
                <w:ilvl w:val="0"/>
                <w:numId w:val="11"/>
              </w:numPr>
              <w:spacing w:line="276" w:lineRule="auto"/>
              <w:rPr>
                <w:rFonts w:cstheme="minorHAnsi"/>
                <w:sz w:val="24"/>
                <w:szCs w:val="24"/>
              </w:rPr>
            </w:pPr>
            <w:r>
              <w:rPr>
                <w:sz w:val="24"/>
              </w:rPr>
              <w:t>PB et dépistage de l'œdème et échantillonnage</w:t>
            </w:r>
          </w:p>
          <w:p w14:paraId="451BBBA2" w14:textId="6C66EB1B" w:rsidR="00C925B2" w:rsidRPr="007570B7" w:rsidRDefault="00C925B2" w:rsidP="00C925B2">
            <w:pPr>
              <w:pStyle w:val="Listenabsatz"/>
              <w:numPr>
                <w:ilvl w:val="0"/>
                <w:numId w:val="11"/>
              </w:numPr>
              <w:spacing w:line="276" w:lineRule="auto"/>
              <w:rPr>
                <w:rFonts w:cstheme="minorHAnsi"/>
                <w:sz w:val="24"/>
                <w:szCs w:val="24"/>
              </w:rPr>
            </w:pPr>
            <w:r>
              <w:rPr>
                <w:sz w:val="24"/>
              </w:rPr>
              <w:t>Méthode SMART Rapide et méthode SMART</w:t>
            </w:r>
          </w:p>
          <w:p w14:paraId="451BBBA3" w14:textId="77777777" w:rsidR="00C925B2" w:rsidRPr="007570B7" w:rsidRDefault="00C925B2" w:rsidP="00C925B2">
            <w:pPr>
              <w:pStyle w:val="Listenabsatz"/>
              <w:numPr>
                <w:ilvl w:val="0"/>
                <w:numId w:val="11"/>
              </w:numPr>
              <w:spacing w:line="276" w:lineRule="auto"/>
              <w:rPr>
                <w:rFonts w:cstheme="minorHAnsi"/>
                <w:sz w:val="24"/>
                <w:szCs w:val="24"/>
              </w:rPr>
            </w:pPr>
            <w:r>
              <w:rPr>
                <w:sz w:val="24"/>
              </w:rPr>
              <w:t>Groupes de discussion</w:t>
            </w:r>
          </w:p>
          <w:p w14:paraId="451BBBA4" w14:textId="77777777" w:rsidR="00C925B2" w:rsidRPr="007570B7" w:rsidRDefault="00C925B2" w:rsidP="00C925B2">
            <w:pPr>
              <w:pStyle w:val="Listenabsatz"/>
              <w:numPr>
                <w:ilvl w:val="0"/>
                <w:numId w:val="11"/>
              </w:numPr>
              <w:spacing w:line="276" w:lineRule="auto"/>
              <w:rPr>
                <w:rFonts w:cstheme="minorHAnsi"/>
                <w:sz w:val="24"/>
                <w:szCs w:val="24"/>
              </w:rPr>
            </w:pPr>
            <w:r>
              <w:rPr>
                <w:sz w:val="24"/>
              </w:rPr>
              <w:t>Calendrier saisonnier</w:t>
            </w:r>
          </w:p>
          <w:p w14:paraId="451BBBA5" w14:textId="77777777" w:rsidR="00C925B2" w:rsidRPr="007570B7" w:rsidRDefault="00C925B2" w:rsidP="00C925B2">
            <w:pPr>
              <w:pStyle w:val="Listenabsatz"/>
              <w:numPr>
                <w:ilvl w:val="0"/>
                <w:numId w:val="11"/>
              </w:numPr>
              <w:spacing w:line="276" w:lineRule="auto"/>
              <w:rPr>
                <w:rFonts w:cstheme="minorHAnsi"/>
                <w:sz w:val="24"/>
                <w:szCs w:val="24"/>
              </w:rPr>
            </w:pPr>
            <w:r>
              <w:rPr>
                <w:sz w:val="24"/>
              </w:rPr>
              <w:t>Surveillance</w:t>
            </w:r>
          </w:p>
          <w:p w14:paraId="451BBBA6" w14:textId="77777777" w:rsidR="00C925B2" w:rsidRPr="007570B7" w:rsidRDefault="00C925B2" w:rsidP="00C925B2">
            <w:pPr>
              <w:spacing w:line="276" w:lineRule="auto"/>
              <w:rPr>
                <w:rFonts w:cstheme="minorHAnsi"/>
                <w:sz w:val="24"/>
                <w:szCs w:val="24"/>
                <w:lang w:val="en-GB"/>
              </w:rPr>
            </w:pPr>
          </w:p>
        </w:tc>
      </w:tr>
      <w:tr w:rsidR="00C925B2" w:rsidRPr="008E725A" w14:paraId="451BBBAB" w14:textId="77777777" w:rsidTr="008A2FE2">
        <w:tc>
          <w:tcPr>
            <w:tcW w:w="3964" w:type="dxa"/>
            <w:vMerge/>
          </w:tcPr>
          <w:p w14:paraId="451BBBA8" w14:textId="77777777" w:rsidR="00C925B2" w:rsidRPr="007570B7" w:rsidRDefault="00C925B2" w:rsidP="00C925B2">
            <w:pPr>
              <w:pStyle w:val="Listenabsatz"/>
              <w:autoSpaceDE w:val="0"/>
              <w:autoSpaceDN w:val="0"/>
              <w:adjustRightInd w:val="0"/>
              <w:ind w:left="360"/>
              <w:rPr>
                <w:rFonts w:cstheme="minorHAnsi"/>
                <w:i/>
                <w:color w:val="000000"/>
                <w:sz w:val="24"/>
                <w:szCs w:val="24"/>
                <w:lang w:val="en-GB"/>
              </w:rPr>
            </w:pPr>
          </w:p>
        </w:tc>
        <w:tc>
          <w:tcPr>
            <w:tcW w:w="4820" w:type="dxa"/>
          </w:tcPr>
          <w:p w14:paraId="451BBBA9" w14:textId="43564C11" w:rsidR="00C925B2" w:rsidRPr="007570B7" w:rsidRDefault="00C925B2" w:rsidP="00C925B2">
            <w:pPr>
              <w:pStyle w:val="Listenabsatz"/>
              <w:numPr>
                <w:ilvl w:val="1"/>
                <w:numId w:val="17"/>
              </w:numPr>
              <w:spacing w:line="276" w:lineRule="auto"/>
              <w:ind w:left="473" w:hanging="473"/>
              <w:rPr>
                <w:rFonts w:cstheme="minorHAnsi"/>
                <w:sz w:val="24"/>
                <w:szCs w:val="24"/>
              </w:rPr>
            </w:pPr>
            <w:r>
              <w:rPr>
                <w:i/>
                <w:iCs/>
                <w:sz w:val="24"/>
              </w:rPr>
              <w:t>Les participants sont en mesure</w:t>
            </w:r>
            <w:r>
              <w:rPr>
                <w:sz w:val="24"/>
              </w:rPr>
              <w:t xml:space="preserve"> d’expliquer les objectifs d’une évaluation de la sécurité alimentaire et d’une évaluation nutritionnelle pendant une crise et d’énumérer le type de données à collecter.</w:t>
            </w:r>
          </w:p>
        </w:tc>
        <w:tc>
          <w:tcPr>
            <w:tcW w:w="5210" w:type="dxa"/>
            <w:vMerge/>
          </w:tcPr>
          <w:p w14:paraId="451BBBAA" w14:textId="77777777" w:rsidR="00C925B2" w:rsidRPr="00890DFE" w:rsidRDefault="00C925B2" w:rsidP="00C925B2">
            <w:pPr>
              <w:pStyle w:val="Listenabsatz"/>
              <w:numPr>
                <w:ilvl w:val="1"/>
                <w:numId w:val="17"/>
              </w:numPr>
              <w:spacing w:line="276" w:lineRule="auto"/>
              <w:rPr>
                <w:rFonts w:cstheme="minorHAnsi"/>
                <w:i/>
                <w:color w:val="000000"/>
                <w:sz w:val="24"/>
                <w:szCs w:val="24"/>
                <w:lang w:val="fr-CH"/>
              </w:rPr>
            </w:pPr>
          </w:p>
        </w:tc>
      </w:tr>
      <w:tr w:rsidR="00C925B2" w:rsidRPr="008E725A" w14:paraId="451BBBAF" w14:textId="77777777" w:rsidTr="008A2FE2">
        <w:tc>
          <w:tcPr>
            <w:tcW w:w="3964" w:type="dxa"/>
            <w:vMerge/>
          </w:tcPr>
          <w:p w14:paraId="451BBBAC" w14:textId="77777777" w:rsidR="00C925B2" w:rsidRPr="00890DFE" w:rsidRDefault="00C925B2" w:rsidP="00C925B2">
            <w:pPr>
              <w:pStyle w:val="Listenabsatz"/>
              <w:autoSpaceDE w:val="0"/>
              <w:autoSpaceDN w:val="0"/>
              <w:adjustRightInd w:val="0"/>
              <w:ind w:left="360"/>
              <w:rPr>
                <w:rFonts w:cstheme="minorHAnsi"/>
                <w:i/>
                <w:color w:val="000000"/>
                <w:sz w:val="24"/>
                <w:szCs w:val="24"/>
                <w:lang w:val="fr-CH"/>
              </w:rPr>
            </w:pPr>
          </w:p>
        </w:tc>
        <w:tc>
          <w:tcPr>
            <w:tcW w:w="4820" w:type="dxa"/>
          </w:tcPr>
          <w:p w14:paraId="451BBBAD" w14:textId="0C601AB3" w:rsidR="00C925B2" w:rsidRPr="007570B7" w:rsidRDefault="00C925B2" w:rsidP="00C925B2">
            <w:pPr>
              <w:pStyle w:val="Listenabsatz"/>
              <w:numPr>
                <w:ilvl w:val="1"/>
                <w:numId w:val="17"/>
              </w:numPr>
              <w:spacing w:line="276" w:lineRule="auto"/>
              <w:ind w:left="473" w:hanging="473"/>
              <w:rPr>
                <w:rFonts w:cstheme="minorHAnsi"/>
                <w:sz w:val="24"/>
                <w:szCs w:val="24"/>
              </w:rPr>
            </w:pPr>
            <w:r>
              <w:rPr>
                <w:i/>
                <w:iCs/>
                <w:sz w:val="24"/>
              </w:rPr>
              <w:t>Les participants sont en mesure</w:t>
            </w:r>
            <w:r>
              <w:rPr>
                <w:sz w:val="24"/>
              </w:rPr>
              <w:t xml:space="preserve"> de décrire les différentes étapes d’une évaluation de </w:t>
            </w:r>
            <w:r>
              <w:rPr>
                <w:sz w:val="24"/>
              </w:rPr>
              <w:lastRenderedPageBreak/>
              <w:t>la sécurité alimentaire / évaluation nutritionnelle.</w:t>
            </w:r>
          </w:p>
        </w:tc>
        <w:tc>
          <w:tcPr>
            <w:tcW w:w="5210" w:type="dxa"/>
            <w:vMerge/>
          </w:tcPr>
          <w:p w14:paraId="451BBBAE" w14:textId="77777777" w:rsidR="00C925B2" w:rsidRPr="00890DFE" w:rsidRDefault="00C925B2" w:rsidP="00C925B2">
            <w:pPr>
              <w:pStyle w:val="Listenabsatz"/>
              <w:numPr>
                <w:ilvl w:val="1"/>
                <w:numId w:val="17"/>
              </w:numPr>
              <w:spacing w:line="276" w:lineRule="auto"/>
              <w:rPr>
                <w:rFonts w:cstheme="minorHAnsi"/>
                <w:i/>
                <w:sz w:val="24"/>
                <w:szCs w:val="24"/>
                <w:lang w:val="fr-CH"/>
              </w:rPr>
            </w:pPr>
          </w:p>
        </w:tc>
      </w:tr>
      <w:tr w:rsidR="00C925B2" w:rsidRPr="008E725A" w14:paraId="451BBBB3" w14:textId="77777777" w:rsidTr="008A2FE2">
        <w:tc>
          <w:tcPr>
            <w:tcW w:w="3964" w:type="dxa"/>
            <w:vMerge/>
          </w:tcPr>
          <w:p w14:paraId="451BBBB0" w14:textId="77777777" w:rsidR="00C925B2" w:rsidRPr="00890DFE" w:rsidRDefault="00C925B2" w:rsidP="00C925B2">
            <w:pPr>
              <w:pStyle w:val="Listenabsatz"/>
              <w:autoSpaceDE w:val="0"/>
              <w:autoSpaceDN w:val="0"/>
              <w:adjustRightInd w:val="0"/>
              <w:ind w:left="360"/>
              <w:rPr>
                <w:rFonts w:cstheme="minorHAnsi"/>
                <w:i/>
                <w:color w:val="000000"/>
                <w:sz w:val="24"/>
                <w:szCs w:val="24"/>
                <w:lang w:val="fr-CH"/>
              </w:rPr>
            </w:pPr>
          </w:p>
        </w:tc>
        <w:tc>
          <w:tcPr>
            <w:tcW w:w="4820" w:type="dxa"/>
          </w:tcPr>
          <w:p w14:paraId="451BBBB1" w14:textId="5DED0E28" w:rsidR="00C925B2" w:rsidRPr="007570B7" w:rsidRDefault="00C925B2" w:rsidP="00C925B2">
            <w:pPr>
              <w:pStyle w:val="Listenabsatz"/>
              <w:numPr>
                <w:ilvl w:val="1"/>
                <w:numId w:val="17"/>
              </w:numPr>
              <w:ind w:left="473" w:hanging="473"/>
              <w:rPr>
                <w:rFonts w:cstheme="minorHAnsi"/>
                <w:i/>
                <w:sz w:val="24"/>
                <w:szCs w:val="24"/>
              </w:rPr>
            </w:pPr>
            <w:r>
              <w:rPr>
                <w:sz w:val="24"/>
              </w:rPr>
              <w:t xml:space="preserve">Les </w:t>
            </w:r>
            <w:r>
              <w:rPr>
                <w:i/>
                <w:sz w:val="24"/>
              </w:rPr>
              <w:t>participants sont en mesure</w:t>
            </w:r>
            <w:r>
              <w:rPr>
                <w:sz w:val="24"/>
              </w:rPr>
              <w:t xml:space="preserve"> d’interpréter les résultats des enquêtes nutritionnelles et de savoir à quel moment la malnutrition aigüe devient un problème humanitaire. </w:t>
            </w:r>
            <w:r>
              <w:rPr>
                <w:color w:val="0070C0"/>
                <w:sz w:val="24"/>
              </w:rPr>
              <w:t xml:space="preserve">Voir aussi le </w:t>
            </w:r>
            <w:r>
              <w:rPr>
                <w:color w:val="0000FF"/>
                <w:sz w:val="24"/>
              </w:rPr>
              <w:t xml:space="preserve">module Contexte général. </w:t>
            </w:r>
          </w:p>
        </w:tc>
        <w:tc>
          <w:tcPr>
            <w:tcW w:w="5210" w:type="dxa"/>
            <w:vMerge/>
          </w:tcPr>
          <w:p w14:paraId="451BBBB2" w14:textId="77777777" w:rsidR="00C925B2" w:rsidRPr="007570B7" w:rsidRDefault="00C925B2" w:rsidP="00C925B2">
            <w:pPr>
              <w:pStyle w:val="Listenabsatz"/>
              <w:numPr>
                <w:ilvl w:val="1"/>
                <w:numId w:val="17"/>
              </w:numPr>
              <w:rPr>
                <w:rFonts w:cstheme="minorHAnsi"/>
                <w:i/>
                <w:sz w:val="24"/>
                <w:szCs w:val="24"/>
                <w:lang w:val="en-GB"/>
              </w:rPr>
            </w:pPr>
          </w:p>
        </w:tc>
      </w:tr>
      <w:tr w:rsidR="00C06511" w:rsidRPr="008E725A" w14:paraId="451BBBBC" w14:textId="77777777" w:rsidTr="008A2FE2">
        <w:tc>
          <w:tcPr>
            <w:tcW w:w="3964" w:type="dxa"/>
            <w:vMerge w:val="restart"/>
          </w:tcPr>
          <w:p w14:paraId="451BBBB4" w14:textId="753EFCB7" w:rsidR="00C06511" w:rsidRPr="007570B7" w:rsidRDefault="00C06511" w:rsidP="00C925B2">
            <w:pPr>
              <w:pStyle w:val="Listenabsatz"/>
              <w:numPr>
                <w:ilvl w:val="0"/>
                <w:numId w:val="17"/>
              </w:numPr>
              <w:autoSpaceDE w:val="0"/>
              <w:autoSpaceDN w:val="0"/>
              <w:adjustRightInd w:val="0"/>
              <w:rPr>
                <w:rFonts w:cstheme="minorHAnsi"/>
                <w:i/>
                <w:color w:val="000000"/>
                <w:sz w:val="24"/>
                <w:szCs w:val="24"/>
              </w:rPr>
            </w:pPr>
            <w:r>
              <w:rPr>
                <w:b/>
                <w:sz w:val="24"/>
              </w:rPr>
              <w:t xml:space="preserve">Interventions </w:t>
            </w:r>
            <w:r>
              <w:rPr>
                <w:i/>
                <w:iCs/>
                <w:sz w:val="24"/>
              </w:rPr>
              <w:t>Les</w:t>
            </w:r>
            <w:r>
              <w:rPr>
                <w:sz w:val="24"/>
              </w:rPr>
              <w:t xml:space="preserve"> </w:t>
            </w:r>
            <w:r>
              <w:rPr>
                <w:i/>
                <w:sz w:val="24"/>
              </w:rPr>
              <w:t>participants sont en mesure</w:t>
            </w:r>
            <w:r>
              <w:rPr>
                <w:sz w:val="24"/>
              </w:rPr>
              <w:t xml:space="preserve"> d’identifier des interventions spécifiques et sensibles à la nutrition à la fois pertinentes et appropriées dans une situation de crise précise.</w:t>
            </w:r>
          </w:p>
        </w:tc>
        <w:tc>
          <w:tcPr>
            <w:tcW w:w="4820" w:type="dxa"/>
          </w:tcPr>
          <w:p w14:paraId="451BBBB5" w14:textId="0C71F28B" w:rsidR="00C06511" w:rsidRPr="007570B7" w:rsidRDefault="00C06511" w:rsidP="00C925B2">
            <w:pPr>
              <w:pStyle w:val="Listenabsatz"/>
              <w:numPr>
                <w:ilvl w:val="1"/>
                <w:numId w:val="17"/>
              </w:numPr>
              <w:spacing w:line="276" w:lineRule="auto"/>
              <w:ind w:left="473" w:hanging="473"/>
              <w:rPr>
                <w:rFonts w:cstheme="minorHAnsi"/>
                <w:sz w:val="24"/>
                <w:szCs w:val="24"/>
              </w:rPr>
            </w:pPr>
            <w:r>
              <w:rPr>
                <w:i/>
                <w:iCs/>
                <w:sz w:val="24"/>
              </w:rPr>
              <w:t>Les participants sont en mesure</w:t>
            </w:r>
            <w:r>
              <w:rPr>
                <w:sz w:val="24"/>
              </w:rPr>
              <w:t xml:space="preserve"> d’expliquer le concept de base des interventions spécifiques et sensibles à la nutrition.</w:t>
            </w:r>
            <w:r>
              <w:rPr>
                <w:i/>
                <w:sz w:val="24"/>
              </w:rPr>
              <w:t xml:space="preserve"> </w:t>
            </w:r>
          </w:p>
        </w:tc>
        <w:tc>
          <w:tcPr>
            <w:tcW w:w="5210" w:type="dxa"/>
            <w:vMerge w:val="restart"/>
          </w:tcPr>
          <w:p w14:paraId="451BBBB6" w14:textId="0A726DEE" w:rsidR="00C06511" w:rsidRPr="007570B7" w:rsidRDefault="00C06511" w:rsidP="00C925B2">
            <w:pPr>
              <w:pStyle w:val="Listenabsatz"/>
              <w:numPr>
                <w:ilvl w:val="0"/>
                <w:numId w:val="13"/>
              </w:numPr>
              <w:spacing w:line="276" w:lineRule="auto"/>
              <w:rPr>
                <w:rFonts w:cstheme="minorHAnsi"/>
                <w:sz w:val="24"/>
                <w:szCs w:val="24"/>
              </w:rPr>
            </w:pPr>
            <w:r>
              <w:rPr>
                <w:sz w:val="24"/>
              </w:rPr>
              <w:t>Définition des programmes spécifiques et sensibles à la nutrition</w:t>
            </w:r>
          </w:p>
          <w:p w14:paraId="451BBBB7" w14:textId="2AC18849" w:rsidR="00C06511" w:rsidRPr="007570B7" w:rsidRDefault="00C06511" w:rsidP="00C925B2">
            <w:pPr>
              <w:pStyle w:val="Listenabsatz"/>
              <w:numPr>
                <w:ilvl w:val="0"/>
                <w:numId w:val="14"/>
              </w:numPr>
              <w:spacing w:line="276" w:lineRule="auto"/>
              <w:rPr>
                <w:rFonts w:cstheme="minorHAnsi"/>
                <w:sz w:val="24"/>
                <w:szCs w:val="24"/>
              </w:rPr>
            </w:pPr>
            <w:r>
              <w:rPr>
                <w:sz w:val="24"/>
              </w:rPr>
              <w:t>Lien entre les différents types d’intervention et le type de crise, en tenant compte :</w:t>
            </w:r>
          </w:p>
          <w:p w14:paraId="451BBBB8" w14:textId="77777777" w:rsidR="00C06511" w:rsidRPr="007570B7" w:rsidRDefault="00C06511" w:rsidP="00C925B2">
            <w:pPr>
              <w:pStyle w:val="Listenabsatz"/>
              <w:numPr>
                <w:ilvl w:val="0"/>
                <w:numId w:val="15"/>
              </w:numPr>
              <w:spacing w:line="276" w:lineRule="auto"/>
              <w:ind w:left="1040"/>
              <w:rPr>
                <w:rFonts w:cstheme="minorHAnsi"/>
                <w:sz w:val="24"/>
                <w:szCs w:val="24"/>
              </w:rPr>
            </w:pPr>
            <w:r>
              <w:rPr>
                <w:sz w:val="24"/>
              </w:rPr>
              <w:t xml:space="preserve">de l’ampleur et la gravité de la crise ;  </w:t>
            </w:r>
          </w:p>
          <w:p w14:paraId="451BBBB9" w14:textId="7FAE3793" w:rsidR="00C06511" w:rsidRPr="007570B7" w:rsidRDefault="00C06511" w:rsidP="00C925B2">
            <w:pPr>
              <w:pStyle w:val="Listenabsatz"/>
              <w:numPr>
                <w:ilvl w:val="0"/>
                <w:numId w:val="15"/>
              </w:numPr>
              <w:spacing w:line="276" w:lineRule="auto"/>
              <w:ind w:left="1040"/>
              <w:rPr>
                <w:rFonts w:cstheme="minorHAnsi"/>
                <w:sz w:val="24"/>
                <w:szCs w:val="24"/>
              </w:rPr>
            </w:pPr>
            <w:r>
              <w:rPr>
                <w:sz w:val="24"/>
              </w:rPr>
              <w:t xml:space="preserve">des spécificités du contexte : p. ex. rural/urbain, situation de pré-crise -&gt; dans quelle mesure les populations sont-elles affectées par la crise, groupes de population vulnérables, climat, mécanismes d’adaptation / de réponse mis en place, etc. ; </w:t>
            </w:r>
          </w:p>
          <w:p w14:paraId="451BBBBA" w14:textId="3112EED6" w:rsidR="00C06511" w:rsidRPr="007570B7" w:rsidRDefault="00C06511" w:rsidP="00C925B2">
            <w:pPr>
              <w:pStyle w:val="Listenabsatz"/>
              <w:numPr>
                <w:ilvl w:val="0"/>
                <w:numId w:val="15"/>
              </w:numPr>
              <w:spacing w:line="276" w:lineRule="auto"/>
              <w:ind w:left="1040"/>
              <w:rPr>
                <w:rFonts w:cstheme="minorHAnsi"/>
                <w:sz w:val="24"/>
                <w:szCs w:val="24"/>
              </w:rPr>
            </w:pPr>
            <w:r>
              <w:rPr>
                <w:sz w:val="24"/>
              </w:rPr>
              <w:t xml:space="preserve">du cycle de la crise, p. ex. crise à évolution lente ou crise soudaine, post-crise / relèvement ; </w:t>
            </w:r>
          </w:p>
          <w:p w14:paraId="451BBBBB" w14:textId="3E616793" w:rsidR="00C06511" w:rsidRPr="007570B7" w:rsidRDefault="00C06511" w:rsidP="00C925B2">
            <w:pPr>
              <w:pStyle w:val="Listenabsatz"/>
              <w:numPr>
                <w:ilvl w:val="0"/>
                <w:numId w:val="16"/>
              </w:numPr>
              <w:spacing w:line="276" w:lineRule="auto"/>
              <w:ind w:left="360"/>
              <w:rPr>
                <w:rFonts w:cstheme="minorHAnsi"/>
                <w:i/>
                <w:sz w:val="24"/>
                <w:szCs w:val="24"/>
              </w:rPr>
            </w:pPr>
            <w:r>
              <w:rPr>
                <w:sz w:val="24"/>
              </w:rPr>
              <w:t>des produits nutritionnels selon le type de programme (« ATPE », « ASPE », prévention).</w:t>
            </w:r>
          </w:p>
        </w:tc>
      </w:tr>
      <w:tr w:rsidR="00C06511" w:rsidRPr="008E725A" w14:paraId="451BBBC0" w14:textId="77777777" w:rsidTr="008A2FE2">
        <w:tc>
          <w:tcPr>
            <w:tcW w:w="3964" w:type="dxa"/>
            <w:vMerge/>
          </w:tcPr>
          <w:p w14:paraId="451BBBBD" w14:textId="77777777" w:rsidR="00C06511" w:rsidRPr="00890DFE" w:rsidRDefault="00C06511" w:rsidP="00C925B2">
            <w:pPr>
              <w:pStyle w:val="Listenabsatz"/>
              <w:autoSpaceDE w:val="0"/>
              <w:autoSpaceDN w:val="0"/>
              <w:adjustRightInd w:val="0"/>
              <w:ind w:left="360"/>
              <w:rPr>
                <w:rFonts w:cstheme="minorHAnsi"/>
                <w:i/>
                <w:color w:val="000000"/>
                <w:sz w:val="24"/>
                <w:szCs w:val="24"/>
                <w:lang w:val="fr-CH"/>
              </w:rPr>
            </w:pPr>
          </w:p>
        </w:tc>
        <w:tc>
          <w:tcPr>
            <w:tcW w:w="4820" w:type="dxa"/>
          </w:tcPr>
          <w:p w14:paraId="451BBBBE" w14:textId="39CF5875" w:rsidR="00C06511" w:rsidRPr="007570B7" w:rsidRDefault="00C06511" w:rsidP="00C925B2">
            <w:pPr>
              <w:pStyle w:val="Listenabsatz"/>
              <w:numPr>
                <w:ilvl w:val="1"/>
                <w:numId w:val="17"/>
              </w:numPr>
              <w:spacing w:line="276" w:lineRule="auto"/>
              <w:ind w:left="473" w:hanging="473"/>
              <w:rPr>
                <w:rFonts w:cstheme="minorHAnsi"/>
                <w:sz w:val="24"/>
                <w:szCs w:val="24"/>
              </w:rPr>
            </w:pPr>
            <w:r>
              <w:rPr>
                <w:i/>
                <w:iCs/>
                <w:sz w:val="24"/>
              </w:rPr>
              <w:t>Les participants sont en mesure</w:t>
            </w:r>
            <w:r>
              <w:rPr>
                <w:sz w:val="24"/>
              </w:rPr>
              <w:t xml:space="preserve"> de montrer comment agir sur les causes de la malnutrition grâce à des interventions sensibles à la nutrition.</w:t>
            </w:r>
          </w:p>
        </w:tc>
        <w:tc>
          <w:tcPr>
            <w:tcW w:w="5210" w:type="dxa"/>
            <w:vMerge/>
          </w:tcPr>
          <w:p w14:paraId="451BBBBF" w14:textId="77777777" w:rsidR="00C06511" w:rsidRPr="00890DFE" w:rsidRDefault="00C06511" w:rsidP="00C925B2">
            <w:pPr>
              <w:pStyle w:val="Listenabsatz"/>
              <w:spacing w:line="276" w:lineRule="auto"/>
              <w:ind w:left="360"/>
              <w:rPr>
                <w:rFonts w:cstheme="minorHAnsi"/>
                <w:i/>
                <w:sz w:val="24"/>
                <w:szCs w:val="24"/>
                <w:lang w:val="fr-CH"/>
              </w:rPr>
            </w:pPr>
          </w:p>
        </w:tc>
      </w:tr>
      <w:tr w:rsidR="00C06511" w:rsidRPr="008E725A" w14:paraId="451BBBC4" w14:textId="77777777" w:rsidTr="008A2FE2">
        <w:tc>
          <w:tcPr>
            <w:tcW w:w="3964" w:type="dxa"/>
            <w:vMerge/>
          </w:tcPr>
          <w:p w14:paraId="451BBBC1" w14:textId="77777777" w:rsidR="00C06511" w:rsidRPr="00890DFE" w:rsidRDefault="00C06511" w:rsidP="00C925B2">
            <w:pPr>
              <w:pStyle w:val="Listenabsatz"/>
              <w:autoSpaceDE w:val="0"/>
              <w:autoSpaceDN w:val="0"/>
              <w:adjustRightInd w:val="0"/>
              <w:ind w:left="360"/>
              <w:rPr>
                <w:rFonts w:cstheme="minorHAnsi"/>
                <w:i/>
                <w:color w:val="000000"/>
                <w:sz w:val="24"/>
                <w:szCs w:val="24"/>
                <w:lang w:val="fr-CH"/>
              </w:rPr>
            </w:pPr>
          </w:p>
        </w:tc>
        <w:tc>
          <w:tcPr>
            <w:tcW w:w="4820" w:type="dxa"/>
          </w:tcPr>
          <w:p w14:paraId="451BBBC2" w14:textId="6281431D" w:rsidR="00C06511" w:rsidRPr="007570B7" w:rsidRDefault="00C06511" w:rsidP="00C925B2">
            <w:pPr>
              <w:pStyle w:val="Listenabsatz"/>
              <w:numPr>
                <w:ilvl w:val="1"/>
                <w:numId w:val="17"/>
              </w:numPr>
              <w:spacing w:line="276" w:lineRule="auto"/>
              <w:ind w:left="473" w:hanging="473"/>
              <w:rPr>
                <w:rFonts w:cstheme="minorHAnsi"/>
                <w:i/>
                <w:sz w:val="24"/>
                <w:szCs w:val="24"/>
              </w:rPr>
            </w:pPr>
            <w:r>
              <w:rPr>
                <w:i/>
                <w:iCs/>
                <w:sz w:val="24"/>
              </w:rPr>
              <w:t>Les participants sont en mesure</w:t>
            </w:r>
            <w:r>
              <w:rPr>
                <w:sz w:val="24"/>
              </w:rPr>
              <w:t xml:space="preserve"> de montrer comment prévenir et traiter la malnutrition grâce à des interventions spécifiques à la nutrition.</w:t>
            </w:r>
          </w:p>
        </w:tc>
        <w:tc>
          <w:tcPr>
            <w:tcW w:w="5210" w:type="dxa"/>
            <w:vMerge/>
          </w:tcPr>
          <w:p w14:paraId="451BBBC3" w14:textId="77777777" w:rsidR="00C06511" w:rsidRPr="00890DFE" w:rsidRDefault="00C06511" w:rsidP="00C925B2">
            <w:pPr>
              <w:pStyle w:val="Listenabsatz"/>
              <w:spacing w:line="276" w:lineRule="auto"/>
              <w:ind w:left="360"/>
              <w:rPr>
                <w:rFonts w:cstheme="minorHAnsi"/>
                <w:i/>
                <w:sz w:val="24"/>
                <w:szCs w:val="24"/>
                <w:lang w:val="fr-CH"/>
              </w:rPr>
            </w:pPr>
          </w:p>
        </w:tc>
      </w:tr>
      <w:tr w:rsidR="00C06511" w:rsidRPr="008E725A" w14:paraId="451BBBC8" w14:textId="77777777" w:rsidTr="008A2FE2">
        <w:tc>
          <w:tcPr>
            <w:tcW w:w="3964" w:type="dxa"/>
            <w:vMerge/>
          </w:tcPr>
          <w:p w14:paraId="451BBBC5" w14:textId="77777777" w:rsidR="00C06511" w:rsidRPr="00890DFE" w:rsidRDefault="00C06511" w:rsidP="00C06511">
            <w:pPr>
              <w:pStyle w:val="Listenabsatz"/>
              <w:autoSpaceDE w:val="0"/>
              <w:autoSpaceDN w:val="0"/>
              <w:adjustRightInd w:val="0"/>
              <w:ind w:left="360"/>
              <w:rPr>
                <w:rFonts w:cstheme="minorHAnsi"/>
                <w:i/>
                <w:color w:val="000000"/>
                <w:sz w:val="24"/>
                <w:szCs w:val="24"/>
                <w:lang w:val="fr-CH"/>
              </w:rPr>
            </w:pPr>
          </w:p>
        </w:tc>
        <w:tc>
          <w:tcPr>
            <w:tcW w:w="4820" w:type="dxa"/>
          </w:tcPr>
          <w:p w14:paraId="451BBBC6" w14:textId="13F89BBC" w:rsidR="00C06511" w:rsidRPr="007570B7" w:rsidRDefault="00C06511" w:rsidP="00C06511">
            <w:pPr>
              <w:pStyle w:val="Listenabsatz"/>
              <w:numPr>
                <w:ilvl w:val="1"/>
                <w:numId w:val="17"/>
              </w:numPr>
              <w:ind w:left="473" w:hanging="473"/>
              <w:rPr>
                <w:rFonts w:cstheme="minorHAnsi"/>
                <w:i/>
                <w:sz w:val="24"/>
                <w:szCs w:val="24"/>
              </w:rPr>
            </w:pPr>
            <w:r>
              <w:rPr>
                <w:i/>
                <w:iCs/>
                <w:sz w:val="24"/>
              </w:rPr>
              <w:t>Les</w:t>
            </w:r>
            <w:r>
              <w:rPr>
                <w:sz w:val="24"/>
              </w:rPr>
              <w:t xml:space="preserve"> </w:t>
            </w:r>
            <w:r>
              <w:rPr>
                <w:i/>
                <w:sz w:val="24"/>
              </w:rPr>
              <w:t>participants sont en mesure</w:t>
            </w:r>
            <w:r>
              <w:rPr>
                <w:sz w:val="24"/>
              </w:rPr>
              <w:t xml:space="preserve"> d’expliquer l’importance de la relation entre les composants de la prise en charge communautaire de la malnutrition aigüe (PECMA) et d’autres programmes nutritionnels et de santé dans les situations de crise.</w:t>
            </w:r>
          </w:p>
        </w:tc>
        <w:tc>
          <w:tcPr>
            <w:tcW w:w="5210" w:type="dxa"/>
            <w:vMerge/>
          </w:tcPr>
          <w:p w14:paraId="451BBBC7" w14:textId="77777777" w:rsidR="00C06511" w:rsidRPr="00890DFE" w:rsidRDefault="00C06511" w:rsidP="00C06511">
            <w:pPr>
              <w:pStyle w:val="Listenabsatz"/>
              <w:ind w:left="360"/>
              <w:rPr>
                <w:rFonts w:cstheme="minorHAnsi"/>
                <w:i/>
                <w:sz w:val="24"/>
                <w:szCs w:val="24"/>
                <w:lang w:val="fr-CH"/>
              </w:rPr>
            </w:pPr>
          </w:p>
        </w:tc>
      </w:tr>
      <w:tr w:rsidR="00C06511" w:rsidRPr="008E725A" w14:paraId="3D6EE874" w14:textId="77777777" w:rsidTr="008A2FE2">
        <w:tc>
          <w:tcPr>
            <w:tcW w:w="3964" w:type="dxa"/>
            <w:vMerge/>
          </w:tcPr>
          <w:p w14:paraId="7B906944" w14:textId="77777777" w:rsidR="00C06511" w:rsidRPr="00890DFE" w:rsidRDefault="00C06511" w:rsidP="00C06511">
            <w:pPr>
              <w:pStyle w:val="Listenabsatz"/>
              <w:autoSpaceDE w:val="0"/>
              <w:autoSpaceDN w:val="0"/>
              <w:adjustRightInd w:val="0"/>
              <w:ind w:left="360"/>
              <w:rPr>
                <w:rFonts w:cstheme="minorHAnsi"/>
                <w:i/>
                <w:color w:val="000000"/>
                <w:sz w:val="24"/>
                <w:szCs w:val="24"/>
                <w:lang w:val="fr-CH"/>
              </w:rPr>
            </w:pPr>
          </w:p>
        </w:tc>
        <w:tc>
          <w:tcPr>
            <w:tcW w:w="4820" w:type="dxa"/>
          </w:tcPr>
          <w:p w14:paraId="6E234EA3" w14:textId="437B39DD" w:rsidR="00C06511" w:rsidRPr="007570B7" w:rsidRDefault="00C06511" w:rsidP="00C06511">
            <w:pPr>
              <w:pStyle w:val="Listenabsatz"/>
              <w:numPr>
                <w:ilvl w:val="1"/>
                <w:numId w:val="17"/>
              </w:numPr>
              <w:ind w:left="473" w:hanging="473"/>
              <w:rPr>
                <w:rFonts w:cstheme="minorHAnsi"/>
                <w:i/>
                <w:sz w:val="24"/>
                <w:szCs w:val="24"/>
              </w:rPr>
            </w:pPr>
            <w:r>
              <w:rPr>
                <w:i/>
                <w:iCs/>
                <w:sz w:val="24"/>
              </w:rPr>
              <w:t>Les</w:t>
            </w:r>
            <w:r>
              <w:rPr>
                <w:sz w:val="24"/>
              </w:rPr>
              <w:t xml:space="preserve"> </w:t>
            </w:r>
            <w:r>
              <w:rPr>
                <w:i/>
                <w:sz w:val="24"/>
              </w:rPr>
              <w:t>participants sont en mesure</w:t>
            </w:r>
            <w:r>
              <w:rPr>
                <w:sz w:val="24"/>
              </w:rPr>
              <w:t xml:space="preserve"> de décrire les types de sécurité alimentaire et d’interventions nutritionnelles préconisés dans différentes situations de crise (en tenant compte de l’ampleur et de la gravité de la crise, du cycle de crise et d’autres spécificités du contexte).</w:t>
            </w:r>
          </w:p>
        </w:tc>
        <w:tc>
          <w:tcPr>
            <w:tcW w:w="5210" w:type="dxa"/>
            <w:vMerge/>
          </w:tcPr>
          <w:p w14:paraId="5B8CA3A5" w14:textId="77777777" w:rsidR="00C06511" w:rsidRPr="00890DFE" w:rsidRDefault="00C06511" w:rsidP="00C06511">
            <w:pPr>
              <w:pStyle w:val="Listenabsatz"/>
              <w:ind w:left="360"/>
              <w:rPr>
                <w:rFonts w:cstheme="minorHAnsi"/>
                <w:i/>
                <w:sz w:val="24"/>
                <w:szCs w:val="24"/>
                <w:lang w:val="fr-CH"/>
              </w:rPr>
            </w:pPr>
          </w:p>
        </w:tc>
      </w:tr>
      <w:tr w:rsidR="00C06511" w:rsidRPr="008E725A" w14:paraId="3B9095B6" w14:textId="77777777" w:rsidTr="008A2FE2">
        <w:tc>
          <w:tcPr>
            <w:tcW w:w="3964" w:type="dxa"/>
            <w:vMerge/>
          </w:tcPr>
          <w:p w14:paraId="5BE55C67" w14:textId="77777777" w:rsidR="00C06511" w:rsidRPr="00890DFE" w:rsidRDefault="00C06511" w:rsidP="00C06511">
            <w:pPr>
              <w:pStyle w:val="Listenabsatz"/>
              <w:autoSpaceDE w:val="0"/>
              <w:autoSpaceDN w:val="0"/>
              <w:adjustRightInd w:val="0"/>
              <w:ind w:left="360"/>
              <w:rPr>
                <w:rFonts w:cstheme="minorHAnsi"/>
                <w:i/>
                <w:color w:val="000000"/>
                <w:sz w:val="24"/>
                <w:szCs w:val="24"/>
                <w:lang w:val="fr-CH"/>
              </w:rPr>
            </w:pPr>
          </w:p>
        </w:tc>
        <w:tc>
          <w:tcPr>
            <w:tcW w:w="4820" w:type="dxa"/>
          </w:tcPr>
          <w:p w14:paraId="0916D39C" w14:textId="4783AC27" w:rsidR="00C06511" w:rsidRPr="007570B7" w:rsidRDefault="00EA6CFA" w:rsidP="00C06511">
            <w:pPr>
              <w:pStyle w:val="Listenabsatz"/>
              <w:numPr>
                <w:ilvl w:val="1"/>
                <w:numId w:val="17"/>
              </w:numPr>
              <w:ind w:left="473" w:hanging="473"/>
              <w:rPr>
                <w:rFonts w:cstheme="minorHAnsi"/>
                <w:i/>
                <w:sz w:val="24"/>
                <w:szCs w:val="24"/>
              </w:rPr>
            </w:pPr>
            <w:r>
              <w:rPr>
                <w:i/>
                <w:sz w:val="24"/>
              </w:rPr>
              <w:t>Les participants sont en mesure</w:t>
            </w:r>
            <w:r>
              <w:rPr>
                <w:sz w:val="24"/>
              </w:rPr>
              <w:t xml:space="preserve"> de décrire des pratiques optimales et pertinentes d’alimentation des nourrissons et des jeunes enfants dans les situations de crise (</w:t>
            </w:r>
            <w:r>
              <w:t>réponse minimum sur l’outil ANJE-U).</w:t>
            </w:r>
          </w:p>
        </w:tc>
        <w:tc>
          <w:tcPr>
            <w:tcW w:w="5210" w:type="dxa"/>
            <w:vMerge/>
          </w:tcPr>
          <w:p w14:paraId="4BC0B946" w14:textId="77777777" w:rsidR="00C06511" w:rsidRPr="00890DFE" w:rsidRDefault="00C06511" w:rsidP="00C06511">
            <w:pPr>
              <w:pStyle w:val="Listenabsatz"/>
              <w:ind w:left="360"/>
              <w:rPr>
                <w:rFonts w:cstheme="minorHAnsi"/>
                <w:i/>
                <w:sz w:val="24"/>
                <w:szCs w:val="24"/>
                <w:lang w:val="fr-CH"/>
              </w:rPr>
            </w:pPr>
          </w:p>
        </w:tc>
      </w:tr>
    </w:tbl>
    <w:p w14:paraId="451BBBCA" w14:textId="77777777" w:rsidR="001F53B2" w:rsidRPr="00890DFE" w:rsidRDefault="001F53B2" w:rsidP="00EA6CFA">
      <w:pPr>
        <w:pStyle w:val="berschrift2"/>
        <w:spacing w:before="360" w:after="80"/>
        <w:contextualSpacing w:val="0"/>
        <w:rPr>
          <w:rFonts w:cstheme="minorHAnsi"/>
          <w:sz w:val="24"/>
          <w:szCs w:val="24"/>
          <w:lang w:val="fr-CH"/>
        </w:rPr>
      </w:pPr>
    </w:p>
    <w:sectPr w:rsidR="001F53B2" w:rsidRPr="00890DFE" w:rsidSect="001F53B2">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A2C8" w14:textId="77777777" w:rsidR="006F7523" w:rsidRDefault="006F7523" w:rsidP="007570B7">
      <w:pPr>
        <w:spacing w:after="0" w:line="240" w:lineRule="auto"/>
      </w:pPr>
      <w:r>
        <w:separator/>
      </w:r>
    </w:p>
  </w:endnote>
  <w:endnote w:type="continuationSeparator" w:id="0">
    <w:p w14:paraId="54B31255" w14:textId="77777777" w:rsidR="006F7523" w:rsidRDefault="006F7523" w:rsidP="0075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67A5" w14:textId="77777777" w:rsidR="006F7523" w:rsidRDefault="006F7523" w:rsidP="007570B7">
      <w:pPr>
        <w:spacing w:after="0" w:line="240" w:lineRule="auto"/>
      </w:pPr>
      <w:r>
        <w:separator/>
      </w:r>
    </w:p>
  </w:footnote>
  <w:footnote w:type="continuationSeparator" w:id="0">
    <w:p w14:paraId="23114518" w14:textId="77777777" w:rsidR="006F7523" w:rsidRDefault="006F7523" w:rsidP="0075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68B6" w14:textId="2170337B" w:rsidR="007570B7" w:rsidRDefault="007570B7">
    <w:pPr>
      <w:pStyle w:val="Kopfzeile"/>
    </w:pPr>
    <w:r>
      <w:t>Version mai 2018 – Final 2019</w:t>
    </w:r>
  </w:p>
  <w:p w14:paraId="3767ADEF" w14:textId="77777777" w:rsidR="007570B7" w:rsidRDefault="007570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A85"/>
    <w:multiLevelType w:val="multilevel"/>
    <w:tmpl w:val="93C80070"/>
    <w:lvl w:ilvl="0">
      <w:start w:val="1"/>
      <w:numFmt w:val="decimal"/>
      <w:lvlText w:val="%1."/>
      <w:lvlJc w:val="left"/>
      <w:pPr>
        <w:ind w:left="360" w:hanging="360"/>
      </w:pPr>
      <w:rPr>
        <w:rFonts w:hint="default"/>
        <w:b w:val="0"/>
        <w:color w:val="auto"/>
        <w:sz w:val="22"/>
      </w:rPr>
    </w:lvl>
    <w:lvl w:ilvl="1">
      <w:start w:val="1"/>
      <w:numFmt w:val="decimal"/>
      <w:lvlText w:val="%1.%2."/>
      <w:lvlJc w:val="left"/>
      <w:pPr>
        <w:ind w:left="502" w:hanging="360"/>
      </w:pPr>
      <w:rPr>
        <w:rFonts w:hint="default"/>
        <w:i w:val="0"/>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 w15:restartNumberingAfterBreak="0">
    <w:nsid w:val="106F24F1"/>
    <w:multiLevelType w:val="multilevel"/>
    <w:tmpl w:val="DAE055FA"/>
    <w:lvl w:ilvl="0">
      <w:start w:val="1"/>
      <w:numFmt w:val="bullet"/>
      <w:lvlText w:val=""/>
      <w:lvlJc w:val="left"/>
      <w:pPr>
        <w:ind w:left="360" w:hanging="360"/>
      </w:pPr>
      <w:rPr>
        <w:rFonts w:ascii="Symbol" w:hAnsi="Symbol"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 w15:restartNumberingAfterBreak="0">
    <w:nsid w:val="145A6A7E"/>
    <w:multiLevelType w:val="hybridMultilevel"/>
    <w:tmpl w:val="7C10CF2C"/>
    <w:lvl w:ilvl="0" w:tplc="5202A7F8">
      <w:start w:val="3"/>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27F05"/>
    <w:multiLevelType w:val="hybridMultilevel"/>
    <w:tmpl w:val="6AEA047C"/>
    <w:lvl w:ilvl="0" w:tplc="5202A7F8">
      <w:start w:val="3"/>
      <w:numFmt w:val="bullet"/>
      <w:lvlText w:val="-"/>
      <w:lvlJc w:val="left"/>
      <w:pPr>
        <w:ind w:left="360" w:hanging="360"/>
      </w:pPr>
      <w:rPr>
        <w:rFonts w:ascii="Times New Roman" w:eastAsiaTheme="minorHAnsi"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169D26E4"/>
    <w:multiLevelType w:val="multilevel"/>
    <w:tmpl w:val="18AA95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E71799"/>
    <w:multiLevelType w:val="multilevel"/>
    <w:tmpl w:val="F5985CBC"/>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upperLetter"/>
      <w:lvlText w:val="%1.%2.%3."/>
      <w:lvlJc w:val="left"/>
      <w:pPr>
        <w:ind w:left="720" w:hanging="720"/>
      </w:pPr>
      <w:rPr>
        <w:rFonts w:hint="default"/>
        <w:i/>
      </w:rPr>
    </w:lvl>
    <w:lvl w:ilvl="3">
      <w:start w:val="1"/>
      <w:numFmt w:val="upperLetter"/>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258B7FBD"/>
    <w:multiLevelType w:val="multilevel"/>
    <w:tmpl w:val="A26203E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upperLetter"/>
      <w:lvlText w:val="%1.%2.%3."/>
      <w:lvlJc w:val="left"/>
      <w:pPr>
        <w:ind w:left="720" w:hanging="720"/>
      </w:pPr>
      <w:rPr>
        <w:rFonts w:hint="default"/>
        <w:i/>
      </w:rPr>
    </w:lvl>
    <w:lvl w:ilvl="3">
      <w:start w:val="1"/>
      <w:numFmt w:val="upperLetter"/>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2D985830"/>
    <w:multiLevelType w:val="multilevel"/>
    <w:tmpl w:val="9920CBA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0579E2"/>
    <w:multiLevelType w:val="hybridMultilevel"/>
    <w:tmpl w:val="68E6B86E"/>
    <w:lvl w:ilvl="0" w:tplc="100C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3105DE"/>
    <w:multiLevelType w:val="multilevel"/>
    <w:tmpl w:val="9920CBA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06560E"/>
    <w:multiLevelType w:val="hybridMultilevel"/>
    <w:tmpl w:val="44E8D744"/>
    <w:lvl w:ilvl="0" w:tplc="E9E8003C">
      <w:start w:val="1"/>
      <w:numFmt w:val="bullet"/>
      <w:lvlText w:val=""/>
      <w:lvlJc w:val="left"/>
      <w:pPr>
        <w:tabs>
          <w:tab w:val="num" w:pos="720"/>
        </w:tabs>
        <w:ind w:left="720" w:hanging="360"/>
      </w:pPr>
      <w:rPr>
        <w:rFonts w:ascii="Wingdings" w:hAnsi="Wingdings" w:hint="default"/>
      </w:rPr>
    </w:lvl>
    <w:lvl w:ilvl="1" w:tplc="71066880" w:tentative="1">
      <w:start w:val="1"/>
      <w:numFmt w:val="bullet"/>
      <w:lvlText w:val=""/>
      <w:lvlJc w:val="left"/>
      <w:pPr>
        <w:tabs>
          <w:tab w:val="num" w:pos="1440"/>
        </w:tabs>
        <w:ind w:left="1440" w:hanging="360"/>
      </w:pPr>
      <w:rPr>
        <w:rFonts w:ascii="Wingdings" w:hAnsi="Wingdings" w:hint="default"/>
      </w:rPr>
    </w:lvl>
    <w:lvl w:ilvl="2" w:tplc="8CC007F4" w:tentative="1">
      <w:start w:val="1"/>
      <w:numFmt w:val="bullet"/>
      <w:lvlText w:val=""/>
      <w:lvlJc w:val="left"/>
      <w:pPr>
        <w:tabs>
          <w:tab w:val="num" w:pos="2160"/>
        </w:tabs>
        <w:ind w:left="2160" w:hanging="360"/>
      </w:pPr>
      <w:rPr>
        <w:rFonts w:ascii="Wingdings" w:hAnsi="Wingdings" w:hint="default"/>
      </w:rPr>
    </w:lvl>
    <w:lvl w:ilvl="3" w:tplc="87EE3D50" w:tentative="1">
      <w:start w:val="1"/>
      <w:numFmt w:val="bullet"/>
      <w:lvlText w:val=""/>
      <w:lvlJc w:val="left"/>
      <w:pPr>
        <w:tabs>
          <w:tab w:val="num" w:pos="2880"/>
        </w:tabs>
        <w:ind w:left="2880" w:hanging="360"/>
      </w:pPr>
      <w:rPr>
        <w:rFonts w:ascii="Wingdings" w:hAnsi="Wingdings" w:hint="default"/>
      </w:rPr>
    </w:lvl>
    <w:lvl w:ilvl="4" w:tplc="AA6EE064" w:tentative="1">
      <w:start w:val="1"/>
      <w:numFmt w:val="bullet"/>
      <w:lvlText w:val=""/>
      <w:lvlJc w:val="left"/>
      <w:pPr>
        <w:tabs>
          <w:tab w:val="num" w:pos="3600"/>
        </w:tabs>
        <w:ind w:left="3600" w:hanging="360"/>
      </w:pPr>
      <w:rPr>
        <w:rFonts w:ascii="Wingdings" w:hAnsi="Wingdings" w:hint="default"/>
      </w:rPr>
    </w:lvl>
    <w:lvl w:ilvl="5" w:tplc="1162246A" w:tentative="1">
      <w:start w:val="1"/>
      <w:numFmt w:val="bullet"/>
      <w:lvlText w:val=""/>
      <w:lvlJc w:val="left"/>
      <w:pPr>
        <w:tabs>
          <w:tab w:val="num" w:pos="4320"/>
        </w:tabs>
        <w:ind w:left="4320" w:hanging="360"/>
      </w:pPr>
      <w:rPr>
        <w:rFonts w:ascii="Wingdings" w:hAnsi="Wingdings" w:hint="default"/>
      </w:rPr>
    </w:lvl>
    <w:lvl w:ilvl="6" w:tplc="7C74DCA6" w:tentative="1">
      <w:start w:val="1"/>
      <w:numFmt w:val="bullet"/>
      <w:lvlText w:val=""/>
      <w:lvlJc w:val="left"/>
      <w:pPr>
        <w:tabs>
          <w:tab w:val="num" w:pos="5040"/>
        </w:tabs>
        <w:ind w:left="5040" w:hanging="360"/>
      </w:pPr>
      <w:rPr>
        <w:rFonts w:ascii="Wingdings" w:hAnsi="Wingdings" w:hint="default"/>
      </w:rPr>
    </w:lvl>
    <w:lvl w:ilvl="7" w:tplc="52B675CA" w:tentative="1">
      <w:start w:val="1"/>
      <w:numFmt w:val="bullet"/>
      <w:lvlText w:val=""/>
      <w:lvlJc w:val="left"/>
      <w:pPr>
        <w:tabs>
          <w:tab w:val="num" w:pos="5760"/>
        </w:tabs>
        <w:ind w:left="5760" w:hanging="360"/>
      </w:pPr>
      <w:rPr>
        <w:rFonts w:ascii="Wingdings" w:hAnsi="Wingdings" w:hint="default"/>
      </w:rPr>
    </w:lvl>
    <w:lvl w:ilvl="8" w:tplc="55A892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564D78"/>
    <w:multiLevelType w:val="hybridMultilevel"/>
    <w:tmpl w:val="61209598"/>
    <w:lvl w:ilvl="0" w:tplc="10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9648CA"/>
    <w:multiLevelType w:val="hybridMultilevel"/>
    <w:tmpl w:val="7B20ECAA"/>
    <w:lvl w:ilvl="0" w:tplc="5202A7F8">
      <w:start w:val="3"/>
      <w:numFmt w:val="bullet"/>
      <w:lvlText w:val="-"/>
      <w:lvlJc w:val="left"/>
      <w:pPr>
        <w:ind w:left="360" w:hanging="360"/>
      </w:pPr>
      <w:rPr>
        <w:rFonts w:ascii="Times New Roman" w:eastAsiaTheme="minorHAnsi" w:hAnsi="Times New Roman"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3" w15:restartNumberingAfterBreak="0">
    <w:nsid w:val="5E256BF7"/>
    <w:multiLevelType w:val="hybridMultilevel"/>
    <w:tmpl w:val="6C92BACE"/>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0192D"/>
    <w:multiLevelType w:val="multilevel"/>
    <w:tmpl w:val="503A189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7514D4"/>
    <w:multiLevelType w:val="hybridMultilevel"/>
    <w:tmpl w:val="6EC4C24A"/>
    <w:lvl w:ilvl="0" w:tplc="5202A7F8">
      <w:start w:val="3"/>
      <w:numFmt w:val="bullet"/>
      <w:lvlText w:val="-"/>
      <w:lvlJc w:val="left"/>
      <w:pPr>
        <w:ind w:left="360" w:hanging="360"/>
      </w:pPr>
      <w:rPr>
        <w:rFonts w:ascii="Times New Roman" w:eastAsiaTheme="minorHAnsi" w:hAnsi="Times New Roman"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68E43B58"/>
    <w:multiLevelType w:val="hybridMultilevel"/>
    <w:tmpl w:val="2F14576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6EC25DB0"/>
    <w:multiLevelType w:val="multilevel"/>
    <w:tmpl w:val="91586DE0"/>
    <w:lvl w:ilvl="0">
      <w:start w:val="3"/>
      <w:numFmt w:val="decimal"/>
      <w:lvlText w:val="%1."/>
      <w:lvlJc w:val="left"/>
      <w:pPr>
        <w:ind w:left="360" w:hanging="360"/>
      </w:pPr>
      <w:rPr>
        <w:rFonts w:hint="default"/>
      </w:rPr>
    </w:lvl>
    <w:lvl w:ilvl="1">
      <w:start w:val="3"/>
      <w:numFmt w:val="bullet"/>
      <w:lvlText w:val="-"/>
      <w:lvlJc w:val="left"/>
      <w:pPr>
        <w:ind w:left="360" w:hanging="360"/>
      </w:pPr>
      <w:rPr>
        <w:rFonts w:ascii="Times New Roman" w:eastAsiaTheme="minorHAnsi" w:hAnsi="Times New Roman" w:cs="Times New Roman" w:hint="default"/>
      </w:rPr>
    </w:lvl>
    <w:lvl w:ilvl="2">
      <w:start w:val="3"/>
      <w:numFmt w:val="bullet"/>
      <w:lvlText w:val="-"/>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8B1D3D"/>
    <w:multiLevelType w:val="hybridMultilevel"/>
    <w:tmpl w:val="D1F8B5F6"/>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C7B32"/>
    <w:multiLevelType w:val="hybridMultilevel"/>
    <w:tmpl w:val="E1BC99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3"/>
  </w:num>
  <w:num w:numId="5">
    <w:abstractNumId w:val="13"/>
  </w:num>
  <w:num w:numId="6">
    <w:abstractNumId w:val="1"/>
  </w:num>
  <w:num w:numId="7">
    <w:abstractNumId w:val="19"/>
  </w:num>
  <w:num w:numId="8">
    <w:abstractNumId w:val="15"/>
  </w:num>
  <w:num w:numId="9">
    <w:abstractNumId w:val="11"/>
  </w:num>
  <w:num w:numId="10">
    <w:abstractNumId w:val="12"/>
  </w:num>
  <w:num w:numId="11">
    <w:abstractNumId w:val="9"/>
  </w:num>
  <w:num w:numId="12">
    <w:abstractNumId w:val="16"/>
  </w:num>
  <w:num w:numId="13">
    <w:abstractNumId w:val="7"/>
  </w:num>
  <w:num w:numId="14">
    <w:abstractNumId w:val="2"/>
  </w:num>
  <w:num w:numId="15">
    <w:abstractNumId w:val="8"/>
  </w:num>
  <w:num w:numId="16">
    <w:abstractNumId w:val="18"/>
  </w:num>
  <w:num w:numId="17">
    <w:abstractNumId w:val="4"/>
  </w:num>
  <w:num w:numId="18">
    <w:abstractNumId w:val="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B2"/>
    <w:rsid w:val="000569FC"/>
    <w:rsid w:val="00127511"/>
    <w:rsid w:val="00182A34"/>
    <w:rsid w:val="001847BA"/>
    <w:rsid w:val="001F53B2"/>
    <w:rsid w:val="00221595"/>
    <w:rsid w:val="002446F0"/>
    <w:rsid w:val="002E439B"/>
    <w:rsid w:val="00304F97"/>
    <w:rsid w:val="0044458B"/>
    <w:rsid w:val="004C0E24"/>
    <w:rsid w:val="004F1218"/>
    <w:rsid w:val="004F5921"/>
    <w:rsid w:val="00501CF6"/>
    <w:rsid w:val="00505270"/>
    <w:rsid w:val="005C6605"/>
    <w:rsid w:val="005F2D51"/>
    <w:rsid w:val="005F724A"/>
    <w:rsid w:val="006F7523"/>
    <w:rsid w:val="007570B7"/>
    <w:rsid w:val="007F186B"/>
    <w:rsid w:val="008271B6"/>
    <w:rsid w:val="00870CA3"/>
    <w:rsid w:val="00884DD5"/>
    <w:rsid w:val="00890DFE"/>
    <w:rsid w:val="008A2FE2"/>
    <w:rsid w:val="008B37DF"/>
    <w:rsid w:val="008E725A"/>
    <w:rsid w:val="00912400"/>
    <w:rsid w:val="00937894"/>
    <w:rsid w:val="0099669C"/>
    <w:rsid w:val="00A20E96"/>
    <w:rsid w:val="00AA1102"/>
    <w:rsid w:val="00B27326"/>
    <w:rsid w:val="00C06511"/>
    <w:rsid w:val="00C8479A"/>
    <w:rsid w:val="00C925B2"/>
    <w:rsid w:val="00CD20A3"/>
    <w:rsid w:val="00E13474"/>
    <w:rsid w:val="00EA6CFA"/>
    <w:rsid w:val="00F5222C"/>
    <w:rsid w:val="00F52C4E"/>
    <w:rsid w:val="00F577D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BBB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53B2"/>
  </w:style>
  <w:style w:type="paragraph" w:styleId="berschrift2">
    <w:name w:val="heading 2"/>
    <w:basedOn w:val="Standard"/>
    <w:next w:val="Standard"/>
    <w:link w:val="berschrift2Zchn"/>
    <w:rsid w:val="001F53B2"/>
    <w:pPr>
      <w:keepNext/>
      <w:keepLines/>
      <w:spacing w:before="200" w:after="0" w:line="276" w:lineRule="auto"/>
      <w:contextualSpacing/>
      <w:outlineLvl w:val="1"/>
    </w:pPr>
    <w:rPr>
      <w:rFonts w:ascii="Trebuchet MS" w:eastAsia="Trebuchet MS" w:hAnsi="Trebuchet MS" w:cs="Trebuchet MS"/>
      <w:b/>
      <w:color w:val="000000"/>
      <w:sz w:val="2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F53B2"/>
    <w:rPr>
      <w:rFonts w:ascii="Trebuchet MS" w:eastAsia="Trebuchet MS" w:hAnsi="Trebuchet MS" w:cs="Trebuchet MS"/>
      <w:b/>
      <w:color w:val="000000"/>
      <w:sz w:val="26"/>
      <w:szCs w:val="20"/>
      <w:lang w:val="fr-FR"/>
    </w:rPr>
  </w:style>
  <w:style w:type="paragraph" w:styleId="Listenabsatz">
    <w:name w:val="List Paragraph"/>
    <w:basedOn w:val="Standard"/>
    <w:uiPriority w:val="34"/>
    <w:qFormat/>
    <w:rsid w:val="001F53B2"/>
    <w:pPr>
      <w:ind w:left="720"/>
      <w:contextualSpacing/>
    </w:pPr>
  </w:style>
  <w:style w:type="table" w:styleId="Tabellenraster">
    <w:name w:val="Table Grid"/>
    <w:basedOn w:val="NormaleTabelle"/>
    <w:uiPriority w:val="39"/>
    <w:rsid w:val="001F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570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70B7"/>
  </w:style>
  <w:style w:type="paragraph" w:styleId="Fuzeile">
    <w:name w:val="footer"/>
    <w:basedOn w:val="Standard"/>
    <w:link w:val="FuzeileZchn"/>
    <w:uiPriority w:val="99"/>
    <w:unhideWhenUsed/>
    <w:rsid w:val="007570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6079">
      <w:bodyDiv w:val="1"/>
      <w:marLeft w:val="0"/>
      <w:marRight w:val="0"/>
      <w:marTop w:val="0"/>
      <w:marBottom w:val="0"/>
      <w:divBdr>
        <w:top w:val="none" w:sz="0" w:space="0" w:color="auto"/>
        <w:left w:val="none" w:sz="0" w:space="0" w:color="auto"/>
        <w:bottom w:val="none" w:sz="0" w:space="0" w:color="auto"/>
        <w:right w:val="none" w:sz="0" w:space="0" w:color="auto"/>
      </w:divBdr>
      <w:divsChild>
        <w:div w:id="1395548780">
          <w:marLeft w:val="547"/>
          <w:marRight w:val="0"/>
          <w:marTop w:val="0"/>
          <w:marBottom w:val="0"/>
          <w:divBdr>
            <w:top w:val="none" w:sz="0" w:space="0" w:color="auto"/>
            <w:left w:val="none" w:sz="0" w:space="0" w:color="auto"/>
            <w:bottom w:val="none" w:sz="0" w:space="0" w:color="auto"/>
            <w:right w:val="none" w:sz="0" w:space="0" w:color="auto"/>
          </w:divBdr>
        </w:div>
        <w:div w:id="1631402607">
          <w:marLeft w:val="547"/>
          <w:marRight w:val="0"/>
          <w:marTop w:val="0"/>
          <w:marBottom w:val="0"/>
          <w:divBdr>
            <w:top w:val="none" w:sz="0" w:space="0" w:color="auto"/>
            <w:left w:val="none" w:sz="0" w:space="0" w:color="auto"/>
            <w:bottom w:val="none" w:sz="0" w:space="0" w:color="auto"/>
            <w:right w:val="none" w:sz="0" w:space="0" w:color="auto"/>
          </w:divBdr>
        </w:div>
        <w:div w:id="816339791">
          <w:marLeft w:val="547"/>
          <w:marRight w:val="0"/>
          <w:marTop w:val="0"/>
          <w:marBottom w:val="0"/>
          <w:divBdr>
            <w:top w:val="none" w:sz="0" w:space="0" w:color="auto"/>
            <w:left w:val="none" w:sz="0" w:space="0" w:color="auto"/>
            <w:bottom w:val="none" w:sz="0" w:space="0" w:color="auto"/>
            <w:right w:val="none" w:sz="0" w:space="0" w:color="auto"/>
          </w:divBdr>
        </w:div>
        <w:div w:id="10063240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0A8DC57427FE8447B6BC7D6E7F551E9D" ma:contentTypeVersion="59" ma:contentTypeDescription="Upload Form" ma:contentTypeScope="" ma:versionID="af942c23399e2bbf09343e682b64174d">
  <xsd:schema xmlns:xsd="http://www.w3.org/2001/XMLSchema" xmlns:xs="http://www.w3.org/2001/XMLSchema" xmlns:p="http://schemas.microsoft.com/office/2006/metadata/properties" xmlns:ns1="http://schemas.microsoft.com/sharepoint/v3" xmlns:ns2="71402401-ee9a-4cfa-82a8-ebbd88d5d766" xmlns:ns3="a8a2af44-4b8d-404b-a8bd-4186350a523c" xmlns:ns4="775538c5-eb89-48ba-a372-0acd5d6f1291" targetNamespace="http://schemas.microsoft.com/office/2006/metadata/properties" ma:root="true" ma:fieldsID="9eefc4f65a2f985d9d7f7f4fa1d65849" ns1:_="" ns2:_="" ns3:_="" ns4:_="">
    <xsd:import namespace="http://schemas.microsoft.com/sharepoint/v3"/>
    <xsd:import namespace="71402401-ee9a-4cfa-82a8-ebbd88d5d766"/>
    <xsd:import namespace="a8a2af44-4b8d-404b-a8bd-4186350a523c"/>
    <xsd:import namespace="775538c5-eb89-48ba-a372-0acd5d6f1291"/>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pe3ed4b1638e49a0a22b56e84a30773f" minOccurs="0"/>
                <xsd:element ref="ns2:h205814a13eb4c68bb83316f6dea6e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1402401-ee9a-4cfa-82a8-ebbd88d5d766"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h205814a13eb4c68bb83316f6dea6ef2" ma:index="38" nillable="true" ma:taxonomy="true" ma:internalName="h205814a13eb4c68bb83316f6dea6ef2" ma:taxonomyFieldName="ICRCIMP_KeyIssue" ma:displayName="Key Issue" ma:fieldId="{1205814a-13eb-4c68-bb83-316f6dea6ef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bb80481a-0eda-4050-92b4-209d87b2a08d}" ma:internalName="TaxCatchAll" ma:showField="CatchAllData"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bb80481a-0eda-4050-92b4-209d87b2a08d}" ma:internalName="TaxCatchAllLabel" ma:readOnly="true" ma:showField="CatchAllDataLabel" ma:web="71402401-ee9a-4cfa-82a8-ebbd88d5d766">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5538c5-eb89-48ba-a372-0acd5d6f1291" elementFormDefault="qualified">
    <xsd:import namespace="http://schemas.microsoft.com/office/2006/documentManagement/types"/>
    <xsd:import namespace="http://schemas.microsoft.com/office/infopath/2007/PartnerControls"/>
    <xsd:element name="pe3ed4b1638e49a0a22b56e84a30773f" ma:index="36" nillable="true" ma:taxonomy="true" ma:internalName="pe3ed4b1638e49a0a22b56e84a30773f" ma:taxonomyFieldName="Key_x0020_Issue" ma:displayName="Key Issue" ma:default="3;#- No key issue|32056555-74b8-4174-9beb-b0d6d010855f" ma:fieldId="{9e3ed4b1-638e-49a0-a22b-56e84a30773f}"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RCIMP_Country_H xmlns="71402401-ee9a-4cfa-82a8-ebbd88d5d766">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Period_x0020_start xmlns="a8a2af44-4b8d-404b-a8bd-4186350a523c">2023-05-09T16:00:00+00:00</Period_x0020_start>
    <TaxCatchAll xmlns="a8a2af44-4b8d-404b-a8bd-4186350a523c">
      <Value>4</Value>
      <Value>31</Value>
      <Value>2</Value>
      <Value>1</Value>
      <Value>3</Value>
    </TaxCatchAll>
    <ICRCIMP_DocumentType_H xmlns="71402401-ee9a-4cfa-82a8-ebbd88d5d766">
      <Terms xmlns="http://schemas.microsoft.com/office/infopath/2007/PartnerControls"/>
    </ICRCIMP_DocumentType_H>
    <ICRCIMP_IHT_H xmlns="71402401-ee9a-4cfa-82a8-ebbd88d5d766">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sIntranet xmlns="a8a2af44-4b8d-404b-a8bd-4186350a523c">false</IsIntranet>
    <ICRCIMP_BusinessFunction_H xmlns="71402401-ee9a-4cfa-82a8-ebbd88d5d766">
      <Terms xmlns="http://schemas.microsoft.com/office/infopath/2007/PartnerControls">
        <TermInfo xmlns="http://schemas.microsoft.com/office/infopath/2007/PartnerControls">
          <TermName xmlns="http://schemas.microsoft.com/office/infopath/2007/PartnerControls">Assistance</TermName>
          <TermId xmlns="http://schemas.microsoft.com/office/infopath/2007/PartnerControls">9015aaae-65d7-4217-8889-581aaffe05a3</TermId>
        </TermInfo>
      </Terms>
    </ICRCIMP_BusinessFunction_H>
    <pe3ed4b1638e49a0a22b56e84a30773f xmlns="775538c5-eb89-48ba-a372-0acd5d6f1291">
      <Terms xmlns="http://schemas.microsoft.com/office/infopath/2007/PartnerControls">
        <TermInfo xmlns="http://schemas.microsoft.com/office/infopath/2007/PartnerControls">
          <TermName xmlns="http://schemas.microsoft.com/office/infopath/2007/PartnerControls">- No key issue</TermName>
          <TermId xmlns="http://schemas.microsoft.com/office/infopath/2007/PartnerControls">32056555-74b8-4174-9beb-b0d6d010855f</TermId>
        </TermInfo>
      </Terms>
    </pe3ed4b1638e49a0a22b56e84a30773f>
    <ICRCIMP_RMIdentifier xmlns="71402401-ee9a-4cfa-82a8-ebbd88d5d766" xsi:nil="true"/>
    <RatingCount xmlns="http://schemas.microsoft.com/sharepoint/v3" xsi:nil="true"/>
    <ICRCIMP_IsRecord xmlns="71402401-ee9a-4cfa-82a8-ebbd88d5d766">true</ICRCIMP_IsRecord>
    <ICRCIMP_RMTransfer xmlns="71402401-ee9a-4cfa-82a8-ebbd88d5d766">
      <Url xsi:nil="true"/>
      <Description xsi:nil="true"/>
    </ICRCIMP_RMTransfer>
    <ICRCIMP_Keyword_H xmlns="71402401-ee9a-4cfa-82a8-ebbd88d5d766">
      <Terms xmlns="http://schemas.microsoft.com/office/infopath/2007/PartnerControls"/>
    </ICRCIMP_Keyword_H>
    <ICRCIMP_OrganizationalAccronym_H xmlns="71402401-ee9a-4cfa-82a8-ebbd88d5d766">
      <Terms xmlns="http://schemas.microsoft.com/office/infopath/2007/PartnerControls"/>
    </ICRCIMP_OrganizationalAccronym_H>
    <AverageRating xmlns="http://schemas.microsoft.com/sharepoint/v3" xsi:nil="true"/>
    <h205814a13eb4c68bb83316f6dea6ef2 xmlns="71402401-ee9a-4cfa-82a8-ebbd88d5d766">
      <Terms xmlns="http://schemas.microsoft.com/office/infopath/2007/PartnerControls"/>
    </h205814a13eb4c68bb83316f6dea6ef2>
    <ICRCIMP_IsFocus xmlns="71402401-ee9a-4cfa-82a8-ebbd88d5d766">false</ICRCIMP_IsFocus>
    <Period_x0020_end xmlns="a8a2af44-4b8d-404b-a8bd-4186350a523c" xsi:nil="true"/>
    <ICRCIMP_RMUnitInCharge_H xmlns="71402401-ee9a-4cfa-82a8-ebbd88d5d766">
      <Terms xmlns="http://schemas.microsoft.com/office/infopath/2007/PartnerControls">
        <TermInfo xmlns="http://schemas.microsoft.com/office/infopath/2007/PartnerControls">
          <TermName xmlns="http://schemas.microsoft.com/office/infopath/2007/PartnerControls">GVA_OP_ASSIST_HELP</TermName>
          <TermId xmlns="http://schemas.microsoft.com/office/infopath/2007/PartnerControls">c53394dc-0df0-45c5-8220-3bdc97c5e4ad</TermId>
        </TermInfo>
      </Terms>
    </ICRCIMP_RMUnitInCharge_H>
    <_dlc_DocId xmlns="a8a2af44-4b8d-404b-a8bd-4186350a523c">TSASSIST-19-3318</_dlc_DocId>
    <_dlc_DocIdUrl xmlns="a8a2af44-4b8d-404b-a8bd-4186350a523c">
      <Url>https://collab.ext.icrc.org/sites/TS_ASSIST/_layouts/15/DocIdRedir.aspx?ID=TSASSIST-19-3318</Url>
      <Description>TSASSIST-19-3318</Description>
    </_dlc_DocIdUrl>
  </documentManagement>
</p:properties>
</file>

<file path=customXml/itemProps1.xml><?xml version="1.0" encoding="utf-8"?>
<ds:datastoreItem xmlns:ds="http://schemas.openxmlformats.org/officeDocument/2006/customXml" ds:itemID="{176AADFF-7CCB-4224-9258-26082DDFA034}"/>
</file>

<file path=customXml/itemProps2.xml><?xml version="1.0" encoding="utf-8"?>
<ds:datastoreItem xmlns:ds="http://schemas.openxmlformats.org/officeDocument/2006/customXml" ds:itemID="{529749C4-4022-45B2-961B-47345EE62740}"/>
</file>

<file path=customXml/itemProps3.xml><?xml version="1.0" encoding="utf-8"?>
<ds:datastoreItem xmlns:ds="http://schemas.openxmlformats.org/officeDocument/2006/customXml" ds:itemID="{7D80773C-88D5-4593-A525-4424B36B01DD}"/>
</file>

<file path=customXml/itemProps4.xml><?xml version="1.0" encoding="utf-8"?>
<ds:datastoreItem xmlns:ds="http://schemas.openxmlformats.org/officeDocument/2006/customXml" ds:itemID="{4F5625A1-2292-4335-9369-16DBF41D2E47}"/>
</file>

<file path=customXml/itemProps5.xml><?xml version="1.0" encoding="utf-8"?>
<ds:datastoreItem xmlns:ds="http://schemas.openxmlformats.org/officeDocument/2006/customXml" ds:itemID="{2008820C-3325-4AD5-93E7-897BA8FE0AAA}"/>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2023-01-24T08:02:00Z</dcterms:created>
  <dcterms:modified xsi:type="dcterms:W3CDTF">2023-01-24T08:06:00Z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0x010100F306B2604BE44180B8B82333BE64DF4E005A5CBB6C53404A16AAEA5338BA523999000A8DC57427FE8447B6BC7D6E7F551E9D</vt:lpwstr>
  </property>
  <property fmtid="{D5CDD505-2E9C-101B-9397-08002B2CF9AE}" pid="3" name="ICRCIMP_RMUnitInCharge">
    <vt:lpwstr>31;#GVA_OP_ASSIST_HELP|c53394dc-0df0-45c5-8220-3bdc97c5e4ad</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2;#No Country|1f55df4f-c103-4303-b974-426a8e7d1d06</vt:lpwstr>
  </property>
  <property fmtid="{D5CDD505-2E9C-101B-9397-08002B2CF9AE}" pid="8" name="ICRCIMP_OrganizationalAccronym">
    <vt:lpwstr/>
  </property>
  <property fmtid="{D5CDD505-2E9C-101B-9397-08002B2CF9AE}" pid="9" name="ICRCIMP_Site">
    <vt:lpwstr/>
  </property>
  <property fmtid="{D5CDD505-2E9C-101B-9397-08002B2CF9AE}" pid="10" name="ICRCIMP_DocumentType">
    <vt:lpwstr/>
  </property>
  <property fmtid="{D5CDD505-2E9C-101B-9397-08002B2CF9AE}" pid="11" name="Key Issue">
    <vt:lpwstr>3;#- No key issue|32056555-74b8-4174-9beb-b0d6d010855f</vt:lpwstr>
  </property>
  <property fmtid="{D5CDD505-2E9C-101B-9397-08002B2CF9AE}" pid="12" name="ICRCIMP_OrganizationalUnit_H">
    <vt:lpwstr/>
  </property>
  <property fmtid="{D5CDD505-2E9C-101B-9397-08002B2CF9AE}" pid="13" name="ICRCIMP_BusinessFunction">
    <vt:lpwstr>1;#Assistance|9015aaae-65d7-4217-8889-581aaffe05a3</vt:lpwstr>
  </property>
  <property fmtid="{D5CDD505-2E9C-101B-9397-08002B2CF9AE}" pid="14" name="ICRCIMP_Keyword">
    <vt:lpwstr/>
  </property>
  <property fmtid="{D5CDD505-2E9C-101B-9397-08002B2CF9AE}" pid="15" name="ICRCIMP_KeyIssue">
    <vt:lpwstr/>
  </property>
  <property fmtid="{D5CDD505-2E9C-101B-9397-08002B2CF9AE}" pid="16" name="ICRCIMP_IHT">
    <vt:lpwstr>4;#Internal|23eb6094-56fc-4ad4-8ae2-cf1575a694f0</vt:lpwstr>
  </property>
  <property fmtid="{D5CDD505-2E9C-101B-9397-08002B2CF9AE}" pid="17" name="_dlc_DocIdItemGuid">
    <vt:lpwstr>a4305d54-d6b1-40b4-9304-dbbb078a2f8f</vt:lpwstr>
  </property>
</Properties>
</file>