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9AF6" w14:textId="0B9973CD" w:rsidR="00871CD5" w:rsidRDefault="00DF63FA" w:rsidP="00DF63F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Cours Health Emergencies in Large Populations (H.E.L.P.)</w:t>
      </w:r>
    </w:p>
    <w:p w14:paraId="78A72901" w14:textId="73A9E132" w:rsidR="00C11232" w:rsidRPr="00871CD5" w:rsidRDefault="00337801" w:rsidP="00DF63FA">
      <w:pPr>
        <w:jc w:val="center"/>
        <w:rPr>
          <w:b/>
          <w:sz w:val="32"/>
        </w:rPr>
      </w:pPr>
      <w:r>
        <w:rPr>
          <w:b/>
          <w:sz w:val="32"/>
        </w:rPr>
        <w:t xml:space="preserve">L’éthique pratique dans l’action humanitaire</w:t>
      </w:r>
      <w:r>
        <w:rPr>
          <w:b/>
          <w:sz w:val="32"/>
        </w:rPr>
        <w:t xml:space="preserve"> </w:t>
      </w:r>
    </w:p>
    <w:p w14:paraId="1D116246" w14:textId="77777777" w:rsidR="00C11232" w:rsidRPr="00011650" w:rsidRDefault="00C11232" w:rsidP="00DF63FA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Temps requis : 90 minutes</w:t>
      </w:r>
      <w:r>
        <w:rPr>
          <w:b/>
          <w:color w:val="FF0000"/>
          <w:sz w:val="32"/>
        </w:rPr>
        <w:t xml:space="preserve"> </w:t>
      </w:r>
    </w:p>
    <w:p w14:paraId="31E23AE3" w14:textId="77777777" w:rsidR="00DF63FA" w:rsidRDefault="00DF63FA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4106"/>
        <w:gridCol w:w="4111"/>
        <w:gridCol w:w="5777"/>
      </w:tblGrid>
      <w:tr w:rsidR="0006194B" w14:paraId="06971BB9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9D182" w14:textId="0F7D0594" w:rsidR="0006194B" w:rsidRPr="00DF63FA" w:rsidRDefault="0006194B" w:rsidP="00765982">
            <w:pPr>
              <w:rPr>
                <w:b/>
                <w:sz w:val="24"/>
                <w:szCs w:val="24"/>
                <w:rFonts w:cstheme="minorHAnsi"/>
              </w:rPr>
            </w:pPr>
            <w:r>
              <w:rPr>
                <w:b/>
                <w:sz w:val="24"/>
              </w:rPr>
              <w:t xml:space="preserve">Objectifs pédagogiques 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 que les participants doivent être en mesure de faire à la fin du cours</w:t>
            </w:r>
          </w:p>
          <w:p w14:paraId="60E74729" w14:textId="77777777" w:rsidR="0006194B" w:rsidRPr="00DF63FA" w:rsidRDefault="0006194B" w:rsidP="00765982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A1CF0E" w14:textId="77777777" w:rsidR="0006194B" w:rsidRPr="00DF63FA" w:rsidRDefault="0006194B" w:rsidP="00765982">
            <w:pPr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  <w:b/>
              </w:rPr>
              <w:t xml:space="preserve">Objectifs de mise en œuvre :</w:t>
            </w:r>
            <w:r>
              <w:rPr>
                <w:sz w:val="24"/>
                <w:b/>
              </w:rPr>
              <w:t xml:space="preserve"> </w:t>
            </w:r>
            <w:r>
              <w:rPr>
                <w:sz w:val="24"/>
                <w:b/>
              </w:rPr>
              <w:t xml:space="preserve">étapes intermédiaires qui s’appuient les unes sur les autres et mènent aux objectifs pédagogiques finaux</w:t>
            </w:r>
            <w:r>
              <w:rPr>
                <w:sz w:val="24"/>
                <w:b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119CA" w14:textId="19E01A15" w:rsidR="0006194B" w:rsidRPr="00DF63FA" w:rsidRDefault="0006194B" w:rsidP="00765982">
            <w:pPr>
              <w:rPr>
                <w:b/>
                <w:sz w:val="24"/>
                <w:szCs w:val="24"/>
                <w:rFonts w:cstheme="minorHAnsi"/>
              </w:rPr>
            </w:pPr>
            <w:r>
              <w:rPr>
                <w:b/>
                <w:sz w:val="24"/>
              </w:rPr>
              <w:t xml:space="preserve">Questions clés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90A1B" w:rsidRPr="00DF63FA" w14:paraId="5BFB8650" w14:textId="77777777" w:rsidTr="00D119B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4AAA" w14:textId="77777777" w:rsidR="00590A1B" w:rsidRPr="00D0500B" w:rsidRDefault="00590A1B" w:rsidP="00F96DD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rFonts w:cstheme="minorHAnsi"/>
              </w:rPr>
            </w:pPr>
            <w:r>
              <w:rPr>
                <w:sz w:val="24"/>
                <w:i/>
                <w:iCs/>
              </w:rPr>
              <w:t xml:space="preserve">Les participants sont en mesure</w:t>
            </w:r>
            <w:r>
              <w:rPr>
                <w:sz w:val="24"/>
              </w:rPr>
              <w:t xml:space="preserve"> d’identifier les dilemmes/questions éthiques lors de crises aiguës et prolongées et d’utiliser une approche cohérente pour parvenir à un consensus et à une décision sur la meilleure façon de procéder lorsqu’ils sont confrontés à un dilemme éthique.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061" w14:textId="77777777" w:rsidR="00590A1B" w:rsidRPr="00DF63FA" w:rsidRDefault="00590A1B" w:rsidP="00F96DD1">
            <w:pPr>
              <w:pStyle w:val="ListParagraph"/>
              <w:numPr>
                <w:ilvl w:val="1"/>
                <w:numId w:val="4"/>
              </w:numPr>
              <w:rPr>
                <w:i/>
                <w:color w:val="auto"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  <w:i/>
                <w:iCs/>
              </w:rPr>
              <w:t xml:space="preserve">Les participants sont en mesure</w:t>
            </w:r>
            <w:r>
              <w:rPr>
                <w:color w:val="auto"/>
                <w:sz w:val="24"/>
              </w:rPr>
              <w:t xml:space="preserve"> d’expliquer ce qu’est un dilemme éthique.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690" w14:textId="77777777" w:rsidR="00590A1B" w:rsidRPr="007F245B" w:rsidRDefault="00590A1B" w:rsidP="00F96DD1">
            <w:pPr>
              <w:pStyle w:val="ListParagraph"/>
              <w:numPr>
                <w:ilvl w:val="0"/>
                <w:numId w:val="6"/>
              </w:numPr>
              <w:ind w:left="36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Définition d’un dilemme éthique</w:t>
            </w:r>
          </w:p>
        </w:tc>
      </w:tr>
      <w:tr w:rsidR="00590A1B" w:rsidRPr="00DF63FA" w14:paraId="6F8EFD81" w14:textId="77777777" w:rsidTr="001D479E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726" w14:textId="77777777" w:rsidR="00590A1B" w:rsidRPr="00A11EA8" w:rsidRDefault="00590A1B" w:rsidP="00A11EA8">
            <w:pPr>
              <w:spacing w:line="276" w:lineRule="auto"/>
              <w:ind w:left="360" w:hanging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FB7" w14:textId="0D017DAE" w:rsidR="00590A1B" w:rsidRPr="00DF63FA" w:rsidRDefault="00590A1B" w:rsidP="00537CB1">
            <w:pPr>
              <w:pStyle w:val="ListParagraph"/>
              <w:numPr>
                <w:ilvl w:val="1"/>
                <w:numId w:val="4"/>
              </w:numPr>
              <w:rPr>
                <w:i/>
                <w:color w:val="auto"/>
                <w:sz w:val="24"/>
                <w:szCs w:val="24"/>
                <w:rFonts w:cstheme="minorHAnsi"/>
              </w:rPr>
            </w:pPr>
            <w:r>
              <w:rPr>
                <w:sz w:val="24"/>
                <w:color w:val="auto"/>
                <w:i/>
              </w:rPr>
              <w:t xml:space="preserve">Les participants sont en mesure</w:t>
            </w:r>
            <w:r>
              <w:rPr>
                <w:sz w:val="24"/>
                <w:color w:val="auto"/>
              </w:rPr>
              <w:t xml:space="preserve"> de décrire le processus de la prise de décision éthique dans la pratique </w:t>
            </w:r>
            <w:r>
              <w:rPr>
                <w:sz w:val="24"/>
                <w:color w:val="0000FF"/>
              </w:rPr>
              <w:t xml:space="preserve">(voir également le module Gestion du cycle de programme)</w:t>
            </w:r>
            <w:r>
              <w:rPr>
                <w:sz w:val="24"/>
              </w:rPr>
              <w:t xml:space="preserve"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9F6" w14:textId="77777777" w:rsidR="00590A1B" w:rsidRDefault="00590A1B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rFonts w:cstheme="minorHAnsi"/>
              </w:rPr>
            </w:pPr>
            <w:r>
              <w:rPr>
                <w:sz w:val="24"/>
                <w:color w:val="auto"/>
              </w:rPr>
              <w:t xml:space="preserve">Étude de cas :</w:t>
            </w:r>
            <w:r>
              <w:rPr>
                <w:sz w:val="24"/>
                <w:color w:val="auto"/>
              </w:rPr>
              <w:t xml:space="preserve"> </w:t>
            </w:r>
            <w:r>
              <w:rPr>
                <w:sz w:val="24"/>
                <w:color w:val="auto"/>
              </w:rPr>
              <w:t xml:space="preserve">application de l’outil </w:t>
            </w:r>
            <w:r>
              <w:rPr>
                <w:sz w:val="24"/>
              </w:rPr>
              <w:t xml:space="preserve">Humanitarian Health Ethics Analysis Tool (</w:t>
            </w:r>
            <w:r>
              <w:rPr>
                <w:sz w:val="24"/>
                <w:color w:val="auto"/>
              </w:rPr>
              <w:t xml:space="preserve">HHEAT) pour la prise de décision éthique</w:t>
            </w:r>
          </w:p>
          <w:p w14:paraId="2826B232" w14:textId="77777777" w:rsidR="00590A1B" w:rsidRPr="001E7A37" w:rsidRDefault="00590A1B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Approche délibérée de prise de décisions en groupe en évoquant les différentes positions éthiques pour parvenir à une solution/façon de procéder</w:t>
            </w:r>
          </w:p>
        </w:tc>
      </w:tr>
      <w:tr w:rsidR="00590A1B" w:rsidRPr="00DF63FA" w14:paraId="4055F476" w14:textId="77777777" w:rsidTr="00D119BB"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9CB" w14:textId="77777777" w:rsidR="00590A1B" w:rsidRPr="00DF63FA" w:rsidRDefault="00590A1B" w:rsidP="00D0500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B5F" w14:textId="0B8D313E" w:rsidR="00590A1B" w:rsidRPr="00537CB1" w:rsidRDefault="00590A1B" w:rsidP="00D0500B">
            <w:pPr>
              <w:pStyle w:val="ListParagraph"/>
              <w:numPr>
                <w:ilvl w:val="1"/>
                <w:numId w:val="4"/>
              </w:numPr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  <w:i/>
                <w:iCs/>
              </w:rPr>
              <w:t xml:space="preserve">Les participants sont en mesure</w:t>
            </w:r>
            <w:r>
              <w:rPr>
                <w:sz w:val="24"/>
              </w:rPr>
              <w:t xml:space="preserve"> d’expliquer différents éléments à prendre en compte dans la réflexion sur les dilemmes éthiques et d’identifier la manière dont ils peuvent entraîner des décisions contradictoires.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132" w14:textId="77777777" w:rsidR="00590A1B" w:rsidRDefault="00590A1B" w:rsidP="00D0500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Principes directeurs :</w:t>
            </w:r>
            <w:r>
              <w:rPr>
                <w:sz w:val="24"/>
              </w:rPr>
              <w:t xml:space="preserve"> </w:t>
            </w:r>
          </w:p>
          <w:p w14:paraId="655DB227" w14:textId="77777777" w:rsidR="00590A1B" w:rsidRPr="003134E8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Humanité, respect, compassion, etc.</w:t>
            </w:r>
          </w:p>
          <w:p w14:paraId="56887DF3" w14:textId="77777777" w:rsidR="00590A1B" w:rsidRPr="00D119BB" w:rsidRDefault="00590A1B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Normes 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loi, dispositions réglementaires, codes de conduite</w:t>
            </w:r>
            <w:r>
              <w:rPr>
                <w:sz w:val="24"/>
              </w:rPr>
              <w:t xml:space="preserve"> </w:t>
            </w:r>
          </w:p>
          <w:p w14:paraId="4D54AFD0" w14:textId="77777777" w:rsidR="00590A1B" w:rsidRPr="00D119BB" w:rsidRDefault="00590A1B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Ressources éthiques</w:t>
            </w:r>
          </w:p>
          <w:p w14:paraId="44E9A4EA" w14:textId="77777777" w:rsidR="00590A1B" w:rsidRPr="00D119BB" w:rsidRDefault="00590A1B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Théories éthiques</w:t>
            </w:r>
          </w:p>
          <w:p w14:paraId="5268837E" w14:textId="77777777" w:rsidR="00590A1B" w:rsidRPr="00F56A6C" w:rsidRDefault="00590A1B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Valeurs et principes dans l’action humanitaire</w:t>
            </w:r>
          </w:p>
          <w:p w14:paraId="0E89547D" w14:textId="77777777" w:rsidR="00590A1B" w:rsidRPr="00D119BB" w:rsidRDefault="00590A1B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i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</w:rPr>
              <w:t xml:space="preserve">Principes humanitaires clés/principes fondamentaux</w:t>
            </w:r>
          </w:p>
          <w:p w14:paraId="457AFF79" w14:textId="77777777" w:rsidR="00590A1B" w:rsidRPr="00D119BB" w:rsidRDefault="00590A1B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i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</w:rPr>
              <w:t xml:space="preserve">Code de conduite pour le Mouvement international de la Croix-Rouge et du Croissant-Rouge et pour les ONG lors des opérations de secours en cas de catastrophe</w:t>
            </w:r>
            <w:r>
              <w:rPr>
                <w:color w:val="auto"/>
                <w:sz w:val="24"/>
              </w:rPr>
              <w:t xml:space="preserve"> </w:t>
            </w:r>
          </w:p>
          <w:p w14:paraId="1AA7AA6A" w14:textId="77777777" w:rsidR="00590A1B" w:rsidRPr="00D119BB" w:rsidRDefault="00590A1B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4 principes fondamentaux</w:t>
            </w:r>
          </w:p>
          <w:p w14:paraId="2D4155BD" w14:textId="77777777" w:rsidR="00590A1B" w:rsidRPr="00D119BB" w:rsidRDefault="00590A1B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6 principes supplémentaires</w:t>
            </w:r>
          </w:p>
          <w:p w14:paraId="3E82F419" w14:textId="77777777" w:rsidR="00590A1B" w:rsidRPr="0021502F" w:rsidRDefault="00590A1B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Éthique professionnelle</w:t>
            </w:r>
          </w:p>
          <w:p w14:paraId="40DB4503" w14:textId="77777777" w:rsidR="00590A1B" w:rsidRPr="0021502F" w:rsidRDefault="00590A1B" w:rsidP="0021502F">
            <w:pPr>
              <w:pStyle w:val="ListParagraph"/>
              <w:numPr>
                <w:ilvl w:val="3"/>
                <w:numId w:val="6"/>
              </w:numPr>
              <w:ind w:left="1494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Éthique médicale, éthique infirmière, éthique de santé publique, etc.</w:t>
            </w:r>
          </w:p>
          <w:p w14:paraId="36F36D71" w14:textId="77777777" w:rsidR="00590A1B" w:rsidRPr="00D119BB" w:rsidRDefault="00590A1B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Principes éthiques relatifs à la fourniture de soins de santé en période de conflit armé et dans d’autres situations d’urgence</w:t>
            </w:r>
          </w:p>
          <w:p w14:paraId="33BA4A5D" w14:textId="77777777" w:rsidR="00590A1B" w:rsidRPr="00AF5A81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i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</w:rPr>
              <w:t xml:space="preserve">Éthique institutionnelle</w:t>
            </w:r>
          </w:p>
          <w:p w14:paraId="0CC3A21D" w14:textId="77777777" w:rsidR="00590A1B" w:rsidRPr="00F14B71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i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</w:rPr>
              <w:t xml:space="preserve">Mais aussi les vertus, etc.</w:t>
            </w:r>
          </w:p>
          <w:p w14:paraId="482EDB39" w14:textId="77777777" w:rsidR="00590A1B" w:rsidRPr="00F14B71" w:rsidRDefault="00590A1B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Conséquences (prévues, imprévues)</w:t>
            </w:r>
          </w:p>
          <w:p w14:paraId="489CE562" w14:textId="77777777" w:rsidR="00590A1B" w:rsidRPr="00342622" w:rsidRDefault="00590A1B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Diversité des cultures et des opinions / valeurs morales et éthiques du contexte</w:t>
            </w:r>
          </w:p>
          <w:p w14:paraId="4618CBF9" w14:textId="77777777" w:rsidR="00590A1B" w:rsidRPr="00F14B71" w:rsidRDefault="00590A1B" w:rsidP="00342622">
            <w:pPr>
              <w:pStyle w:val="ListParagraph"/>
              <w:numPr>
                <w:ilvl w:val="1"/>
                <w:numId w:val="8"/>
              </w:numPr>
              <w:ind w:left="700"/>
              <w:rPr>
                <w:i/>
                <w:sz w:val="24"/>
                <w:szCs w:val="24"/>
                <w:rFonts w:cstheme="minorHAnsi"/>
              </w:rPr>
            </w:pPr>
            <w:r>
              <w:rPr>
                <w:sz w:val="24"/>
              </w:rPr>
              <w:t xml:space="preserve">Limites absolues</w:t>
            </w:r>
          </w:p>
        </w:tc>
      </w:tr>
      <w:tr w:rsidR="0021502F" w:rsidRPr="0021502F" w14:paraId="2B0F13C5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703" w14:textId="48893363" w:rsidR="00A11EA8" w:rsidRPr="0021502F" w:rsidRDefault="00A11EA8" w:rsidP="00A11EA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i/>
                <w:color w:val="auto"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  <w:i/>
                <w:iCs/>
              </w:rPr>
              <w:t xml:space="preserve">Les participants sont en mesure</w:t>
            </w:r>
            <w:r>
              <w:rPr>
                <w:color w:val="auto"/>
                <w:sz w:val="24"/>
              </w:rPr>
              <w:t xml:space="preserve"> d’expliquer pourquoi il est important de tenir compte des dilemmes éthiques dans une réponse.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42" w14:textId="1EAE8D32" w:rsidR="00A11EA8" w:rsidRPr="0021502F" w:rsidRDefault="00A11EA8" w:rsidP="00A11EA8">
            <w:pPr>
              <w:pStyle w:val="ListParagraph"/>
              <w:numPr>
                <w:ilvl w:val="1"/>
                <w:numId w:val="9"/>
              </w:numPr>
              <w:rPr>
                <w:i/>
                <w:color w:val="auto"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  <w:i/>
                <w:iCs/>
              </w:rPr>
              <w:t xml:space="preserve">Les participants sont en mesure</w:t>
            </w:r>
            <w:r>
              <w:rPr>
                <w:color w:val="auto"/>
                <w:sz w:val="24"/>
              </w:rPr>
              <w:t xml:space="preserve"> d’expliquer les conséquences possibles si les dilemmes éthiques ne sont pas traités correctement.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84B" w14:textId="77777777" w:rsidR="00A11EA8" w:rsidRPr="0021502F" w:rsidRDefault="00A11EA8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auto"/>
                <w:sz w:val="24"/>
                <w:szCs w:val="24"/>
                <w:rFonts w:cstheme="minorHAnsi"/>
              </w:rPr>
            </w:pPr>
            <w:r>
              <w:rPr>
                <w:color w:val="auto"/>
                <w:sz w:val="24"/>
              </w:rPr>
              <w:t xml:space="preserve">Conséquences des problèmes éthiques non traités</w:t>
            </w:r>
          </w:p>
          <w:p w14:paraId="0272B3BB" w14:textId="77777777" w:rsidR="00A11EA8" w:rsidRPr="0021502F" w:rsidRDefault="00A11EA8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auto"/>
                <w:sz w:val="24"/>
                <w:szCs w:val="24"/>
                <w:rFonts w:cstheme="minorHAnsi"/>
              </w:rPr>
            </w:pPr>
            <w:r>
              <w:rPr>
                <w:sz w:val="24"/>
                <w:color w:val="auto"/>
              </w:rPr>
              <w:t xml:space="preserve">Conséquences d’une mauvaise décision sur le plan éthique/culturel</w:t>
            </w:r>
            <w:r>
              <w:rPr>
                <w:sz w:val="24"/>
                <w:color w:val="auto"/>
              </w:rPr>
              <w:t xml:space="preserve"> </w:t>
            </w:r>
          </w:p>
          <w:p w14:paraId="0565BCF7" w14:textId="77777777" w:rsidR="00A11EA8" w:rsidRPr="00CD0A21" w:rsidRDefault="00A11EA8" w:rsidP="00CD0A2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17A04D1" w14:textId="77777777" w:rsidR="00011650" w:rsidRDefault="00011650" w:rsidP="00011650">
      <w:pPr>
        <w:jc w:val="center"/>
        <w:rPr>
          <w:color w:val="0000FF"/>
          <w:sz w:val="28"/>
        </w:rPr>
      </w:pPr>
    </w:p>
    <w:p w14:paraId="513ADD65" w14:textId="7E80C350" w:rsidR="00011650" w:rsidRPr="00011650" w:rsidRDefault="00011650" w:rsidP="00011650">
      <w:pPr>
        <w:pStyle w:val="ListParagraph"/>
        <w:numPr>
          <w:ilvl w:val="0"/>
          <w:numId w:val="0"/>
        </w:numPr>
        <w:ind w:left="360"/>
        <w:jc w:val="center"/>
        <w:rPr>
          <w:color w:val="0000FF"/>
          <w:sz w:val="28"/>
          <w:szCs w:val="28"/>
          <w:rFonts w:cstheme="minorHAnsi"/>
        </w:rPr>
      </w:pPr>
      <w:r>
        <w:rPr>
          <w:color w:val="0000FF"/>
          <w:sz w:val="28"/>
        </w:rPr>
        <w:t xml:space="preserve">Les modules « Maladies non transmissibles » et « Prise en charge d’un afflux massif de victimes » incluent des exemples sur les dilemmes éthiques (questions pour les participants) -&gt; référence à l’outil HHEAT pour la prise de décision éthique présenté dans le module « L’éthique pratique dans l’action humanitaire »</w:t>
      </w:r>
    </w:p>
    <w:p w14:paraId="5550D936" w14:textId="303508DF" w:rsidR="00011650" w:rsidRPr="0034603F" w:rsidRDefault="00011650" w:rsidP="00011650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 </w:t>
      </w:r>
    </w:p>
    <w:p w14:paraId="7C763456" w14:textId="77777777" w:rsidR="00DF63FA" w:rsidRPr="00011650" w:rsidRDefault="00DF63FA">
      <w:pPr>
        <w:rPr>
          <w:rFonts w:ascii="Times New Roman" w:eastAsia="Arial" w:hAnsi="Times New Roman" w:cs="Times New Roman"/>
          <w:sz w:val="32"/>
        </w:rPr>
      </w:pPr>
    </w:p>
    <w:sectPr w:rsidR="00DF63FA" w:rsidRPr="00011650" w:rsidSect="00DF63F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F905B" w14:textId="77777777" w:rsidR="00355588" w:rsidRDefault="00355588" w:rsidP="00011650">
      <w:pPr>
        <w:spacing w:after="0" w:line="240" w:lineRule="auto"/>
      </w:pPr>
      <w:r>
        <w:separator/>
      </w:r>
    </w:p>
  </w:endnote>
  <w:endnote w:type="continuationSeparator" w:id="0">
    <w:p w14:paraId="2D98696C" w14:textId="77777777" w:rsidR="00355588" w:rsidRDefault="00355588" w:rsidP="000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40ED2" w14:textId="77777777" w:rsidR="00355588" w:rsidRDefault="00355588" w:rsidP="00011650">
      <w:pPr>
        <w:spacing w:after="0" w:line="240" w:lineRule="auto"/>
      </w:pPr>
      <w:r>
        <w:separator/>
      </w:r>
    </w:p>
  </w:footnote>
  <w:footnote w:type="continuationSeparator" w:id="0">
    <w:p w14:paraId="72969C28" w14:textId="77777777" w:rsidR="00355588" w:rsidRDefault="00355588" w:rsidP="0001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1C67" w14:textId="21674D57" w:rsidR="00011650" w:rsidRDefault="00D817DE">
    <w:pPr>
      <w:pStyle w:val="Header"/>
    </w:pPr>
    <w:r>
      <w:t xml:space="preserve">Version 2019Final</w:t>
    </w:r>
  </w:p>
  <w:p w14:paraId="4414CF78" w14:textId="77777777" w:rsidR="00011650" w:rsidRDefault="00011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79A"/>
    <w:multiLevelType w:val="multilevel"/>
    <w:tmpl w:val="27C8745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03BB42C0"/>
    <w:multiLevelType w:val="multilevel"/>
    <w:tmpl w:val="F34E9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41710"/>
    <w:multiLevelType w:val="multilevel"/>
    <w:tmpl w:val="B85654A0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" w15:restartNumberingAfterBreak="0">
    <w:nsid w:val="2A954BC6"/>
    <w:multiLevelType w:val="hybridMultilevel"/>
    <w:tmpl w:val="3CA044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107"/>
    <w:multiLevelType w:val="multilevel"/>
    <w:tmpl w:val="8052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D75988"/>
    <w:multiLevelType w:val="hybridMultilevel"/>
    <w:tmpl w:val="EC60AA36"/>
    <w:lvl w:ilvl="0" w:tplc="69382834">
      <w:start w:val="3"/>
      <w:numFmt w:val="bullet"/>
      <w:pStyle w:val="ListParagraph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D4D73"/>
    <w:multiLevelType w:val="multilevel"/>
    <w:tmpl w:val="7CA42256"/>
    <w:lvl w:ilvl="0">
      <w:start w:val="2"/>
      <w:numFmt w:val="none"/>
      <w:lvlText w:val="2.1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400192D"/>
    <w:multiLevelType w:val="multilevel"/>
    <w:tmpl w:val="9ABEEDE2"/>
    <w:lvl w:ilvl="0">
      <w:start w:val="2"/>
      <w:numFmt w:val="none"/>
      <w:lvlText w:val="2.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A3171F"/>
    <w:multiLevelType w:val="hybridMultilevel"/>
    <w:tmpl w:val="2C3689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FA"/>
    <w:rsid w:val="00011650"/>
    <w:rsid w:val="0006194B"/>
    <w:rsid w:val="00084785"/>
    <w:rsid w:val="001D4DFF"/>
    <w:rsid w:val="001E7A37"/>
    <w:rsid w:val="0021502F"/>
    <w:rsid w:val="00232909"/>
    <w:rsid w:val="003134E8"/>
    <w:rsid w:val="00337801"/>
    <w:rsid w:val="00342622"/>
    <w:rsid w:val="0034603F"/>
    <w:rsid w:val="00355588"/>
    <w:rsid w:val="003633FE"/>
    <w:rsid w:val="004B5BD6"/>
    <w:rsid w:val="004E3AA3"/>
    <w:rsid w:val="00522ACD"/>
    <w:rsid w:val="00537CB1"/>
    <w:rsid w:val="005835DF"/>
    <w:rsid w:val="00590A1B"/>
    <w:rsid w:val="006765C4"/>
    <w:rsid w:val="006B74EB"/>
    <w:rsid w:val="00771730"/>
    <w:rsid w:val="007F245B"/>
    <w:rsid w:val="00815FEB"/>
    <w:rsid w:val="00870CA3"/>
    <w:rsid w:val="00871CD5"/>
    <w:rsid w:val="00885801"/>
    <w:rsid w:val="008E67AB"/>
    <w:rsid w:val="00A11EA8"/>
    <w:rsid w:val="00AF3B32"/>
    <w:rsid w:val="00AF5A81"/>
    <w:rsid w:val="00B71243"/>
    <w:rsid w:val="00B75CBE"/>
    <w:rsid w:val="00BF4AEF"/>
    <w:rsid w:val="00C11232"/>
    <w:rsid w:val="00C8003E"/>
    <w:rsid w:val="00C8479A"/>
    <w:rsid w:val="00CA4006"/>
    <w:rsid w:val="00CD0A21"/>
    <w:rsid w:val="00D0500B"/>
    <w:rsid w:val="00D119BB"/>
    <w:rsid w:val="00D317D2"/>
    <w:rsid w:val="00D67E5C"/>
    <w:rsid w:val="00D817DE"/>
    <w:rsid w:val="00DC42B2"/>
    <w:rsid w:val="00DF63FA"/>
    <w:rsid w:val="00EC516D"/>
    <w:rsid w:val="00EC5621"/>
    <w:rsid w:val="00F14B71"/>
    <w:rsid w:val="00F56A6C"/>
    <w:rsid w:val="00F96DD1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00D7"/>
  <w15:chartTrackingRefBased/>
  <w15:docId w15:val="{F34C3150-2AF0-47F8-8FDD-25B1143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FA"/>
    <w:rPr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3FA"/>
    <w:pPr>
      <w:spacing w:after="0" w:line="240" w:lineRule="auto"/>
    </w:pPr>
    <w:rPr>
      <w:sz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FA"/>
    <w:pPr>
      <w:numPr>
        <w:numId w:val="1"/>
      </w:numPr>
      <w:spacing w:after="0" w:line="240" w:lineRule="auto"/>
      <w:contextualSpacing/>
    </w:pPr>
    <w:rPr>
      <w:rFonts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9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50"/>
    <w:rPr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50"/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2019-09-02T22:00:00+00:00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TSASSIST-19-3304</_dlc_DocId>
    <_dlc_DocIdUrl xmlns="a8a2af44-4b8d-404b-a8bd-4186350a523c">
      <Url>https://collab.ext.icrc.org/sites/TS_ASSIST/_layouts/15/DocIdRedir.aspx?ID=TSASSIST-19-3304</Url>
      <Description>TSASSIST-19-3304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8CB3C-5AF7-4BBE-B097-856052758986}"/>
</file>

<file path=customXml/itemProps2.xml><?xml version="1.0" encoding="utf-8"?>
<ds:datastoreItem xmlns:ds="http://schemas.openxmlformats.org/officeDocument/2006/customXml" ds:itemID="{878D2CC1-7276-46A1-8E56-7C26D4A1BC0F}"/>
</file>

<file path=customXml/itemProps3.xml><?xml version="1.0" encoding="utf-8"?>
<ds:datastoreItem xmlns:ds="http://schemas.openxmlformats.org/officeDocument/2006/customXml" ds:itemID="{510E6BA6-B17D-425A-8F3C-A5A9947706A0}"/>
</file>

<file path=customXml/itemProps4.xml><?xml version="1.0" encoding="utf-8"?>
<ds:datastoreItem xmlns:ds="http://schemas.openxmlformats.org/officeDocument/2006/customXml" ds:itemID="{E04ADDCB-E361-4263-B5E4-9F222C4D65F4}"/>
</file>

<file path=customXml/itemProps5.xml><?xml version="1.0" encoding="utf-8"?>
<ds:datastoreItem xmlns:ds="http://schemas.openxmlformats.org/officeDocument/2006/customXml" ds:itemID="{69322CE2-50FA-4EAC-8AEF-7CE5689FE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Diana DELGADO</cp:lastModifiedBy>
  <cp:revision>2</cp:revision>
  <cp:lastPrinted>2019-10-21T07:50:00Z</cp:lastPrinted>
  <dcterms:created xsi:type="dcterms:W3CDTF">2022-11-11T10:39:00Z</dcterms:created>
  <dcterms:modified xsi:type="dcterms:W3CDTF">2022-11-11T10:39:00Z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0e426def-625b-427b-8daf-6aa8e2418d5a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ICRCIMP_OrganizationalUnit">
    <vt:lpwstr/>
  </property>
  <property fmtid="{D5CDD505-2E9C-101B-9397-08002B2CF9AE}" pid="16" name="ICRCIMP_Site_H">
    <vt:lpwstr/>
  </property>
  <property fmtid="{D5CDD505-2E9C-101B-9397-08002B2CF9AE}" pid="17" name="ICRCIMP_Site">
    <vt:lpwstr/>
  </property>
  <property fmtid="{D5CDD505-2E9C-101B-9397-08002B2CF9AE}" pid="18" name="ICRCIMP_OrganizationalUnit_H">
    <vt:lpwstr/>
  </property>
</Properties>
</file>